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9153A6" w:rsidRDefault="00106767">
      <w:pPr>
        <w:rPr>
          <w:rFonts w:ascii="Arial Narrow" w:hAnsi="Arial Narrow"/>
          <w:sz w:val="18"/>
          <w:szCs w:val="18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9153A6" w:rsidTr="009153A6">
        <w:tc>
          <w:tcPr>
            <w:tcW w:w="534" w:type="dxa"/>
            <w:vAlign w:val="center"/>
          </w:tcPr>
          <w:p w:rsidR="0097327B" w:rsidRPr="009153A6" w:rsidRDefault="0097327B" w:rsidP="00A162EF">
            <w:pPr>
              <w:jc w:val="center"/>
              <w:rPr>
                <w:rFonts w:ascii="Arial Narrow" w:hAnsi="Arial Narrow" w:cstheme="majorBidi"/>
                <w:b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9153A6" w:rsidRDefault="0097327B" w:rsidP="00A162EF">
            <w:pPr>
              <w:jc w:val="center"/>
              <w:rPr>
                <w:rFonts w:ascii="Arial Narrow" w:hAnsi="Arial Narrow" w:cstheme="majorBidi"/>
                <w:b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9153A6" w:rsidRDefault="0097327B" w:rsidP="00A162EF">
            <w:pPr>
              <w:jc w:val="center"/>
              <w:rPr>
                <w:rFonts w:ascii="Arial Narrow" w:hAnsi="Arial Narrow" w:cstheme="majorBidi"/>
                <w:b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9153A6" w:rsidRDefault="0097327B" w:rsidP="00A162EF">
            <w:pPr>
              <w:jc w:val="center"/>
              <w:rPr>
                <w:rFonts w:ascii="Arial Narrow" w:hAnsi="Arial Narrow" w:cstheme="majorBidi"/>
                <w:b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Unit</w:t>
            </w:r>
            <w:r w:rsidRPr="009153A6">
              <w:rPr>
                <w:rFonts w:ascii="Arial Narrow" w:hAnsi="Arial Narrow" w:cstheme="majorBidi"/>
                <w:b/>
                <w:sz w:val="18"/>
                <w:szCs w:val="18"/>
                <w:lang w:val="en-US"/>
              </w:rPr>
              <w:t xml:space="preserve"> Kerja</w:t>
            </w: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9153A6" w:rsidRDefault="0097327B" w:rsidP="00A162EF">
            <w:pPr>
              <w:jc w:val="center"/>
              <w:rPr>
                <w:rFonts w:ascii="Arial Narrow" w:hAnsi="Arial Narrow" w:cstheme="majorBidi"/>
                <w:b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Waktu Penyele</w:t>
            </w:r>
            <w:r w:rsidR="006B775D" w:rsidRPr="009153A6">
              <w:rPr>
                <w:rFonts w:ascii="Arial Narrow" w:hAnsi="Arial Narrow" w:cstheme="majorBidi"/>
                <w:b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saian</w:t>
            </w:r>
          </w:p>
        </w:tc>
        <w:tc>
          <w:tcPr>
            <w:tcW w:w="992" w:type="dxa"/>
            <w:vAlign w:val="center"/>
          </w:tcPr>
          <w:p w:rsidR="0097327B" w:rsidRPr="009153A6" w:rsidRDefault="0097327B" w:rsidP="00A162EF">
            <w:pPr>
              <w:jc w:val="center"/>
              <w:rPr>
                <w:rFonts w:ascii="Arial Narrow" w:hAnsi="Arial Narrow" w:cstheme="majorBidi"/>
                <w:b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b/>
                <w:sz w:val="18"/>
                <w:szCs w:val="18"/>
              </w:rPr>
              <w:t>Ket.</w:t>
            </w:r>
          </w:p>
        </w:tc>
      </w:tr>
      <w:tr w:rsidR="00224FB0" w:rsidRPr="009153A6" w:rsidTr="009153A6">
        <w:tc>
          <w:tcPr>
            <w:tcW w:w="534" w:type="dxa"/>
          </w:tcPr>
          <w:p w:rsidR="00224FB0" w:rsidRPr="009153A6" w:rsidRDefault="00224FB0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0C62AB" w:rsidRPr="009153A6" w:rsidRDefault="000C62AB" w:rsidP="000C62AB">
            <w:pPr>
              <w:ind w:right="-108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DISKRIPSI  :</w:t>
            </w:r>
          </w:p>
          <w:p w:rsidR="000C62AB" w:rsidRPr="009153A6" w:rsidRDefault="000C62AB" w:rsidP="006B775D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0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Pelayanan prima Pengadilan Agama kepada masyarakat pencari keadilan.</w:t>
            </w:r>
          </w:p>
          <w:p w:rsidR="00224FB0" w:rsidRPr="009153A6" w:rsidRDefault="000C62AB" w:rsidP="006B775D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0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Memberikan pelayanan jasa publik dan pelayanan administratif secara sederhana, cepat dan terukur</w:t>
            </w:r>
          </w:p>
        </w:tc>
        <w:tc>
          <w:tcPr>
            <w:tcW w:w="1276" w:type="dxa"/>
          </w:tcPr>
          <w:p w:rsidR="00224FB0" w:rsidRPr="009153A6" w:rsidRDefault="00224FB0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224FB0" w:rsidRPr="009153A6" w:rsidRDefault="00224FB0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224FB0" w:rsidRPr="009153A6" w:rsidRDefault="00224FB0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1462FC" w:rsidRPr="001462FC" w:rsidTr="00CD1DB4">
        <w:tc>
          <w:tcPr>
            <w:tcW w:w="534" w:type="dxa"/>
          </w:tcPr>
          <w:p w:rsidR="001462FC" w:rsidRPr="001462FC" w:rsidRDefault="001462FC" w:rsidP="00A162EF">
            <w:pPr>
              <w:jc w:val="right"/>
              <w:rPr>
                <w:rFonts w:ascii="Arial Narrow" w:hAnsi="Arial Narrow" w:cstheme="majorBidi"/>
                <w:b/>
                <w:bCs/>
                <w:sz w:val="18"/>
                <w:szCs w:val="18"/>
              </w:rPr>
            </w:pPr>
          </w:p>
          <w:p w:rsidR="001462FC" w:rsidRPr="001462FC" w:rsidRDefault="001462FC" w:rsidP="00A162EF">
            <w:pPr>
              <w:jc w:val="right"/>
              <w:rPr>
                <w:rFonts w:ascii="Arial Narrow" w:hAnsi="Arial Narrow" w:cstheme="majorBidi"/>
                <w:b/>
                <w:bCs/>
                <w:sz w:val="18"/>
                <w:szCs w:val="18"/>
              </w:rPr>
            </w:pP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5244" w:type="dxa"/>
            <w:gridSpan w:val="2"/>
          </w:tcPr>
          <w:p w:rsidR="001462FC" w:rsidRPr="001462FC" w:rsidRDefault="001462FC" w:rsidP="00A162EF">
            <w:pPr>
              <w:rPr>
                <w:rFonts w:ascii="Arial Narrow" w:hAnsi="Arial Narrow" w:cstheme="majorBidi"/>
                <w:b/>
                <w:bCs/>
                <w:sz w:val="18"/>
                <w:szCs w:val="18"/>
              </w:rPr>
            </w:pPr>
          </w:p>
          <w:p w:rsidR="001462FC" w:rsidRPr="001462FC" w:rsidRDefault="001462FC" w:rsidP="0026268D">
            <w:pPr>
              <w:jc w:val="both"/>
              <w:rPr>
                <w:rFonts w:ascii="Arial Narrow" w:hAnsi="Arial Narrow" w:cstheme="majorBidi"/>
                <w:b/>
                <w:bCs/>
                <w:sz w:val="18"/>
                <w:szCs w:val="18"/>
              </w:rPr>
            </w:pP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</w:rPr>
              <w:t xml:space="preserve">PENDAFTARAN PERKARA </w:t>
            </w: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  <w:t xml:space="preserve"> PADA </w:t>
            </w: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</w:rPr>
              <w:t>TINGKAT PERTAMA</w:t>
            </w:r>
          </w:p>
          <w:p w:rsidR="001462FC" w:rsidRPr="001462FC" w:rsidRDefault="001462FC">
            <w:pPr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1462FC" w:rsidRPr="001462FC" w:rsidRDefault="001462FC">
            <w:pPr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1462FC" w:rsidRPr="001462FC" w:rsidRDefault="001462FC">
            <w:pPr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1462FC" w:rsidRPr="001462FC" w:rsidRDefault="001462FC">
            <w:pPr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</w:pPr>
          </w:p>
        </w:tc>
      </w:tr>
      <w:tr w:rsidR="000C62AB" w:rsidRPr="009153A6" w:rsidTr="009153A6">
        <w:tc>
          <w:tcPr>
            <w:tcW w:w="534" w:type="dxa"/>
            <w:tcBorders>
              <w:bottom w:val="single" w:sz="4" w:space="0" w:color="F2F2F2" w:themeColor="background1" w:themeShade="F2"/>
            </w:tcBorders>
          </w:tcPr>
          <w:p w:rsidR="000C62AB" w:rsidRPr="009153A6" w:rsidRDefault="000C62AB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F2F2F2" w:themeColor="background1" w:themeShade="F2"/>
            </w:tcBorders>
          </w:tcPr>
          <w:p w:rsidR="000C62AB" w:rsidRPr="009153A6" w:rsidRDefault="000C62AB" w:rsidP="0026268D">
            <w:pPr>
              <w:numPr>
                <w:ilvl w:val="0"/>
                <w:numId w:val="2"/>
              </w:numPr>
              <w:ind w:left="175" w:hanging="175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Pengajuan surat gugatan/permo</w:t>
            </w:r>
            <w:r w:rsidR="0026268D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honan</w:t>
            </w:r>
          </w:p>
        </w:tc>
        <w:tc>
          <w:tcPr>
            <w:tcW w:w="3260" w:type="dxa"/>
            <w:tcBorders>
              <w:bottom w:val="single" w:sz="4" w:space="0" w:color="F2F2F2" w:themeColor="background1" w:themeShade="F2"/>
            </w:tcBorders>
          </w:tcPr>
          <w:p w:rsidR="000C62AB" w:rsidRPr="009153A6" w:rsidRDefault="000C62AB" w:rsidP="001A7A78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Menerima surat gugatan/ permohonan sebanyak para pihak ditambah 3 eksemplar termasuk soft copynya.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Dari Penggugat/</w:t>
            </w:r>
            <w:r w:rsidR="00A52E9B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Pemohon</w:t>
            </w:r>
            <w:r w:rsidR="00A52E9B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;</w:t>
            </w:r>
          </w:p>
        </w:tc>
        <w:tc>
          <w:tcPr>
            <w:tcW w:w="1276" w:type="dxa"/>
            <w:tcBorders>
              <w:bottom w:val="single" w:sz="4" w:space="0" w:color="F2F2F2" w:themeColor="background1" w:themeShade="F2"/>
            </w:tcBorders>
          </w:tcPr>
          <w:p w:rsidR="000C62AB" w:rsidRPr="009153A6" w:rsidRDefault="000C62AB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F2F2F2" w:themeColor="background1" w:themeShade="F2"/>
            </w:tcBorders>
          </w:tcPr>
          <w:p w:rsidR="000C62AB" w:rsidRPr="009153A6" w:rsidRDefault="000C62AB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F2F2F2" w:themeColor="background1" w:themeShade="F2"/>
            </w:tcBorders>
          </w:tcPr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0C62AB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1A7A78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Meneliti surat gugatan/ permohonan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yang diajukan oleh Penggugat/ Pemohon</w:t>
            </w:r>
            <w:r w:rsidR="007C177E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  <w:p w:rsidR="000C62AB" w:rsidRPr="009153A6" w:rsidRDefault="000C62AB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EB2ABC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0C62AB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877A9A" w:rsidP="001A7A78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Menaksir panjar biaya perkara dan membuat SKUM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Rangkap 3  serta menyerahkan SKUM tersebut kepada Penggugat/</w:t>
            </w:r>
            <w:r w:rsidR="00A52E9B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Pemohon agar membayar panjar biaya perkara pada bank yang ditunjuk</w:t>
            </w:r>
            <w:r w:rsidR="007C177E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;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877A9A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EB2ABC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0C62AB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1A7A78">
            <w:pPr>
              <w:numPr>
                <w:ilvl w:val="0"/>
                <w:numId w:val="3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pembayaran panjar biaya perkara sesuai SKUM</w:t>
            </w:r>
            <w:r w:rsidR="00A52E9B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877A9A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bank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EB2ABC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0C62AB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62AB" w:rsidRPr="009153A6" w:rsidRDefault="000C62AB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C62AB" w:rsidRPr="009153A6" w:rsidRDefault="00EB2ABC" w:rsidP="00CD1DB4">
            <w:pPr>
              <w:numPr>
                <w:ilvl w:val="0"/>
                <w:numId w:val="2"/>
              </w:numPr>
              <w:tabs>
                <w:tab w:val="left" w:pos="317"/>
              </w:tabs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Pengadminis</w:t>
            </w:r>
            <w:r w:rsidR="006B775D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t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rasian keuangan dan perkara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C62AB" w:rsidRPr="009153A6" w:rsidRDefault="00BC7115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Pemegang kas / Kasir menerima berkas gugatan / permohonan serta bukti Stor Bank dan SKUM yang dibuat petugas Meja I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C62AB" w:rsidRPr="009153A6" w:rsidRDefault="00BC7115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C62AB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0C62AB" w:rsidRPr="009153A6" w:rsidRDefault="000C62AB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BC7115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BC7115">
            <w:pPr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Mencatat panjar biaya perkara dalam buku jurnal perkara yang bersangkutan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BC7115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Kasir</w:t>
            </w:r>
          </w:p>
          <w:p w:rsidR="00BC7115" w:rsidRPr="009153A6" w:rsidRDefault="00BC7115" w:rsidP="00BC7115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BC7115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BC7115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Membubuhkan nomor perkara pada surat gugatan/ permohonan dengan stempel yang telah ditetapkan.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Kasir</w:t>
            </w:r>
          </w:p>
          <w:p w:rsidR="00BC7115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BC7115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SKUM lembar pertama kepada Penggugat/Pemohon untuk disimpan yang bersangkutan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Kasir</w:t>
            </w:r>
          </w:p>
          <w:p w:rsidR="00BC7115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2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BC7115" w:rsidRPr="009153A6" w:rsidTr="005D11DB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Menyerahkan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berkas perkara berisi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surat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g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ugatan/permohon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an termasuk instrumen radius/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biaya besert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a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SKUM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lembar ke</w:t>
            </w:r>
            <w:r w:rsidR="009153A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kedua kepada Penggugat/ Pemohon untuk mendaftar </w:t>
            </w:r>
            <w:r w:rsidR="009153A6" w:rsidRPr="009153A6">
              <w:rPr>
                <w:rFonts w:ascii="Arial Narrow" w:hAnsi="Arial Narrow" w:cstheme="majorBidi"/>
                <w:sz w:val="18"/>
                <w:szCs w:val="18"/>
              </w:rPr>
              <w:t xml:space="preserve">perkaranya </w:t>
            </w:r>
            <w:r w:rsidR="009153A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pada </w:t>
            </w:r>
            <w:r w:rsidR="009153A6" w:rsidRPr="009153A6">
              <w:rPr>
                <w:rFonts w:ascii="Arial Narrow" w:hAnsi="Arial Narrow" w:cstheme="majorBidi"/>
                <w:sz w:val="18"/>
                <w:szCs w:val="18"/>
              </w:rPr>
              <w:t xml:space="preserve">petugas </w:t>
            </w:r>
            <w:r w:rsidR="009153A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EB2AB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Kasir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/ petugas Meja I</w:t>
            </w:r>
          </w:p>
          <w:p w:rsidR="00BC7115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C7115" w:rsidRPr="009153A6" w:rsidRDefault="00BC7115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9153A6" w:rsidRPr="009153A6" w:rsidTr="005D11DB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Membubuhkan nomor perkara pada map dan surat gugatan/permohonan sesuai dengan nomor yang tercantum dalam SKUM.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ind w:right="-108"/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II</w:t>
            </w:r>
          </w:p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9153A6" w:rsidRPr="009153A6" w:rsidTr="005D11DB">
        <w:tc>
          <w:tcPr>
            <w:tcW w:w="534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Mencatat tentang nomor perkara, tanggal pendaftaran perkara, identitas para pihak, petitum gugatan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dalam buku register gugatan dan perkara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permohonan dalam buku register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perrmohonan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ind w:right="-108"/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II</w:t>
            </w:r>
          </w:p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</w:tbl>
    <w:p w:rsidR="006B775D" w:rsidRPr="009153A6" w:rsidRDefault="006B775D">
      <w:pPr>
        <w:rPr>
          <w:rFonts w:ascii="Arial Narrow" w:hAnsi="Arial Narrow"/>
          <w:sz w:val="18"/>
          <w:szCs w:val="18"/>
        </w:rPr>
      </w:pPr>
    </w:p>
    <w:p w:rsidR="006B775D" w:rsidRPr="009153A6" w:rsidRDefault="006B775D">
      <w:pPr>
        <w:rPr>
          <w:rFonts w:ascii="Arial Narrow" w:hAnsi="Arial Narrow"/>
          <w:sz w:val="18"/>
          <w:szCs w:val="18"/>
        </w:rPr>
      </w:pPr>
      <w:r w:rsidRPr="009153A6">
        <w:rPr>
          <w:rFonts w:ascii="Arial Narrow" w:hAnsi="Arial Narrow"/>
          <w:sz w:val="18"/>
          <w:szCs w:val="18"/>
        </w:rPr>
        <w:br w:type="page"/>
      </w:r>
    </w:p>
    <w:p w:rsidR="00877A9A" w:rsidRPr="009153A6" w:rsidRDefault="00877A9A">
      <w:pPr>
        <w:rPr>
          <w:rFonts w:ascii="Arial Narrow" w:hAnsi="Arial Narrow"/>
          <w:sz w:val="18"/>
          <w:szCs w:val="18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6F6AD3" w:rsidRPr="009153A6" w:rsidTr="009153A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6F6AD3" w:rsidRPr="009153A6" w:rsidRDefault="006F6AD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6F6AD3" w:rsidRPr="009153A6" w:rsidRDefault="006F6AD3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6F6AD3" w:rsidRPr="009153A6" w:rsidRDefault="006F6AD3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Menyerahkan satu eksemplar surat gugatan/permohonan kepada Penggugat/Pemohon untuk disimpan yang berasangkutan, selanjutnya menyerahkan bundel berkas yang sudah dilengkapi instrumen PMH,Penunjukan PP/Jsp dan PHS kepada Panitera melalui Wakil Panitera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6F6AD3" w:rsidRPr="009153A6" w:rsidRDefault="006F6AD3" w:rsidP="00A162EF">
            <w:pPr>
              <w:ind w:right="-108"/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II</w:t>
            </w:r>
          </w:p>
          <w:p w:rsidR="006F6AD3" w:rsidRPr="009153A6" w:rsidRDefault="006F6AD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6F6AD3" w:rsidRPr="009153A6" w:rsidRDefault="006F6AD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6F6AD3" w:rsidRPr="009153A6" w:rsidRDefault="006F6AD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2A05AF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A05AF" w:rsidRPr="009153A6" w:rsidRDefault="002A05AF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A05AF" w:rsidRPr="009153A6" w:rsidRDefault="002A05AF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A05AF" w:rsidRPr="009153A6" w:rsidRDefault="002A05AF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Gugatan/Permohonan dimasukan dalam SIADPA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A05AF" w:rsidRPr="009153A6" w:rsidRDefault="002A05AF" w:rsidP="00A162EF">
            <w:pPr>
              <w:ind w:right="-108"/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A05AF" w:rsidRPr="009153A6" w:rsidRDefault="002A05AF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mdenit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A05AF" w:rsidRPr="009153A6" w:rsidRDefault="002A05AF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6F6AD3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Memeriksa/meneliti kelengkap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an berkas perkara, selanjutnya mencatat dalam buku kontrol kemudian disampaikan ke panitera untuk diteruskan kepada Ketua Pengadilan Agama.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Wakil 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6F6AD3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Memeriksa/meneliti kelengkapan berkas perkara, selanjutnya mencatat dalam buku kontrol kemudian disampaikan kepada Ketua Pengadilan Agama melalui wakil Ketua.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6F6AD3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F6AD3" w:rsidRPr="009153A6" w:rsidRDefault="006F6AD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6F6AD3" w:rsidRPr="009153A6" w:rsidRDefault="006F6AD3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6F6AD3" w:rsidRPr="009153A6" w:rsidRDefault="006F6AD3" w:rsidP="00E25E0E">
            <w:pPr>
              <w:numPr>
                <w:ilvl w:val="0"/>
                <w:numId w:val="18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Wakil Ketua meneliti dan mencatat perkara masuk dalam buku kontrol.</w:t>
            </w:r>
            <w:r w:rsidR="00B22E5C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Kemudian disampaikan kepada Keua Pengadilan Agama.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6F6AD3" w:rsidRPr="009153A6" w:rsidRDefault="006F6AD3" w:rsidP="006F6AD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Wakil Ketua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6F6AD3" w:rsidRPr="009153A6" w:rsidRDefault="006F6AD3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6F6AD3" w:rsidRPr="009153A6" w:rsidRDefault="006F6AD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22E5C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22E5C" w:rsidRPr="009153A6" w:rsidRDefault="00B22E5C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B22E5C" w:rsidRPr="009153A6" w:rsidRDefault="00B22E5C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B22E5C" w:rsidRPr="009153A6" w:rsidRDefault="00B22E5C" w:rsidP="00B22E5C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Mempelajari berkas perkara</w:t>
            </w:r>
            <w:r w:rsidR="00257BA4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, dan mencatat dalam bank data perkara serta buku control pembagian perkara Majelis Hakim;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B22E5C" w:rsidRPr="009153A6" w:rsidRDefault="00B22E5C" w:rsidP="006F6AD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Ketua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B22E5C" w:rsidRPr="009153A6" w:rsidRDefault="00257BA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7</w:t>
            </w:r>
            <w:r w:rsidR="00B22E5C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menit</w:t>
            </w:r>
          </w:p>
          <w:p w:rsidR="00257BA4" w:rsidRPr="009153A6" w:rsidRDefault="00257BA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Paling lama … hari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B22E5C" w:rsidRPr="009153A6" w:rsidRDefault="00B22E5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22E5C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22E5C" w:rsidRPr="009153A6" w:rsidRDefault="00B22E5C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22E5C" w:rsidRPr="009153A6" w:rsidRDefault="00B22E5C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22E5C" w:rsidRPr="009153A6" w:rsidRDefault="00257BA4" w:rsidP="00B22E5C">
            <w:pPr>
              <w:numPr>
                <w:ilvl w:val="0"/>
                <w:numId w:val="19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Membuat PMH/SIADPA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22E5C" w:rsidRPr="009153A6" w:rsidRDefault="00257BA4" w:rsidP="006F6AD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Ketua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22E5C" w:rsidRPr="009153A6" w:rsidRDefault="00257BA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22E5C" w:rsidRPr="009153A6" w:rsidRDefault="00B22E5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257BA4" w:rsidRPr="009153A6" w:rsidTr="009153A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257BA4" w:rsidRPr="009153A6" w:rsidRDefault="00257BA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57BA4" w:rsidRPr="009153A6" w:rsidRDefault="00257BA4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57BA4" w:rsidRPr="009153A6" w:rsidRDefault="00257BA4" w:rsidP="00257BA4">
            <w:pPr>
              <w:numPr>
                <w:ilvl w:val="0"/>
                <w:numId w:val="20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Mempelajari berkas perkara dan mencatatnya dalam agenda siding</w:t>
            </w:r>
            <w:r w:rsidR="006570E9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, serta menyerahkan berkas kepada Hakim anggota untuk kemudian bersama-sama menentukan hari siding;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57BA4" w:rsidRPr="009153A6" w:rsidRDefault="00257BA4" w:rsidP="00257BA4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Ketua Mjls Hakim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57BA4" w:rsidRPr="009153A6" w:rsidRDefault="00257BA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Paling </w:t>
            </w:r>
            <w:proofErr w:type="gramStart"/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lama ..</w:t>
            </w:r>
            <w:proofErr w:type="gramEnd"/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hari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57BA4" w:rsidRPr="009153A6" w:rsidRDefault="00257BA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257BA4" w:rsidRPr="009153A6" w:rsidTr="009153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257BA4" w:rsidRPr="009153A6" w:rsidRDefault="00257BA4" w:rsidP="00257BA4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257BA4" w:rsidRPr="009153A6" w:rsidRDefault="00257BA4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257BA4" w:rsidRPr="009153A6" w:rsidRDefault="006570E9" w:rsidP="00257BA4">
            <w:pPr>
              <w:numPr>
                <w:ilvl w:val="0"/>
                <w:numId w:val="20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Membuat PHS/SIADPA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257BA4" w:rsidRPr="009153A6" w:rsidRDefault="006570E9" w:rsidP="00257BA4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sda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257BA4" w:rsidRPr="009153A6" w:rsidRDefault="00257BA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257BA4" w:rsidRPr="009153A6" w:rsidRDefault="00257BA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6570E9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570E9" w:rsidRPr="009153A6" w:rsidRDefault="006570E9" w:rsidP="00257BA4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570E9" w:rsidRPr="009153A6" w:rsidRDefault="006570E9" w:rsidP="00EB2ABC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570E9" w:rsidRPr="009153A6" w:rsidRDefault="006570E9" w:rsidP="00257BA4">
            <w:pPr>
              <w:numPr>
                <w:ilvl w:val="0"/>
                <w:numId w:val="20"/>
              </w:numPr>
              <w:ind w:left="278" w:hanging="278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Mengisi dan menandatangani instrument;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570E9" w:rsidRPr="009153A6" w:rsidRDefault="006570E9" w:rsidP="00257BA4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570E9" w:rsidRPr="009153A6" w:rsidRDefault="006570E9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6570E9" w:rsidRPr="009153A6" w:rsidRDefault="006570E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BE027D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1D15D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B.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442B5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b/>
                <w:bCs/>
                <w:sz w:val="18"/>
                <w:szCs w:val="18"/>
              </w:rPr>
            </w:pPr>
            <w:r w:rsidRPr="009442B5"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  <w:t>PENDAFTARAN PERKARA BANDING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DF4AF4" w:rsidRDefault="00BE027D" w:rsidP="00DF4AF4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permohonan / pernyataan banding dari Pemohon banding dilampiri salinan putusan yang diperoleh dari meja III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DF4AF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DF4AF4" w:rsidRDefault="00BE027D" w:rsidP="00DF4AF4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F4AF4">
              <w:rPr>
                <w:rFonts w:ascii="Arial Narrow" w:hAnsi="Arial Narrow" w:cstheme="majorBidi"/>
                <w:sz w:val="18"/>
                <w:szCs w:val="18"/>
              </w:rPr>
              <w:t>Meneliti surat permohonan</w:t>
            </w: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/ pernyataan banding beserta lampirannya berupa salinan putusan yang diperoleh Pembanding dari meja III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9153A6" w:rsidRPr="009153A6" w:rsidTr="00DF4AF4">
        <w:trPr>
          <w:trHeight w:val="15"/>
        </w:trPr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DF4AF4" w:rsidRDefault="009153A6" w:rsidP="00DF4AF4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DF4AF4">
              <w:rPr>
                <w:rFonts w:ascii="Arial Narrow" w:hAnsi="Arial Narrow" w:cstheme="majorBidi"/>
                <w:sz w:val="18"/>
                <w:szCs w:val="18"/>
              </w:rPr>
              <w:t xml:space="preserve">Menaksir panjar biaya perkara </w:t>
            </w: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banding </w:t>
            </w:r>
            <w:r w:rsidRPr="00DF4AF4">
              <w:rPr>
                <w:rFonts w:ascii="Arial Narrow" w:hAnsi="Arial Narrow" w:cstheme="majorBidi"/>
                <w:sz w:val="18"/>
                <w:szCs w:val="18"/>
              </w:rPr>
              <w:t>dan membuat SKUM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9153A6" w:rsidRPr="009153A6" w:rsidTr="00DF4AF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DF4AF4" w:rsidRDefault="009153A6" w:rsidP="00DF4AF4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pembayaran panjar biaya banding sesuai SKUM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PetugasBank yang ditunjuk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9153A6" w:rsidRPr="009153A6" w:rsidTr="00DF4AF4">
        <w:tc>
          <w:tcPr>
            <w:tcW w:w="534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</w:tcBorders>
          </w:tcPr>
          <w:p w:rsidR="009153A6" w:rsidRPr="00DF4AF4" w:rsidRDefault="009153A6" w:rsidP="00DF4AF4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F4AF4">
              <w:rPr>
                <w:rFonts w:ascii="Arial Narrow" w:hAnsi="Arial Narrow" w:cstheme="majorBidi"/>
                <w:sz w:val="18"/>
                <w:szCs w:val="18"/>
              </w:rPr>
              <w:t>Memberi tanda lunas dan nomor perkara pada SKUM</w:t>
            </w: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DF4AF4">
              <w:rPr>
                <w:rFonts w:ascii="Arial Narrow" w:hAnsi="Arial Narrow" w:cstheme="majorBidi"/>
                <w:sz w:val="18"/>
                <w:szCs w:val="18"/>
              </w:rPr>
              <w:t>setelah Pemohon</w:t>
            </w: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banding</w:t>
            </w:r>
            <w:r w:rsidRPr="00DF4AF4">
              <w:rPr>
                <w:rFonts w:ascii="Arial Narrow" w:hAnsi="Arial Narrow" w:cstheme="majorBidi"/>
                <w:sz w:val="18"/>
                <w:szCs w:val="18"/>
              </w:rPr>
              <w:t xml:space="preserve"> membayar panjar biaya perkara di Bank yang ditunjuk</w:t>
            </w:r>
            <w:r w:rsidRPr="00DF4AF4">
              <w:rPr>
                <w:rFonts w:ascii="Arial Narrow" w:hAnsi="Arial Narrow" w:cstheme="majorBidi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9153A6" w:rsidRPr="009153A6" w:rsidRDefault="009153A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</w:tcBorders>
          </w:tcPr>
          <w:p w:rsidR="009153A6" w:rsidRPr="009153A6" w:rsidRDefault="009153A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</w:tbl>
    <w:p w:rsidR="0055119E" w:rsidRPr="009153A6" w:rsidRDefault="0055119E">
      <w:pPr>
        <w:rPr>
          <w:rFonts w:ascii="Arial Narrow" w:hAnsi="Arial Narrow"/>
          <w:sz w:val="18"/>
          <w:szCs w:val="18"/>
        </w:rPr>
      </w:pPr>
    </w:p>
    <w:p w:rsidR="0055119E" w:rsidRPr="009153A6" w:rsidRDefault="0055119E">
      <w:pPr>
        <w:rPr>
          <w:rFonts w:ascii="Arial Narrow" w:hAnsi="Arial Narrow"/>
          <w:sz w:val="18"/>
          <w:szCs w:val="18"/>
        </w:rPr>
      </w:pPr>
      <w:r w:rsidRPr="009153A6">
        <w:rPr>
          <w:rFonts w:ascii="Arial Narrow" w:hAnsi="Arial Narrow"/>
          <w:sz w:val="18"/>
          <w:szCs w:val="18"/>
        </w:rPr>
        <w:br w:type="page"/>
      </w:r>
    </w:p>
    <w:p w:rsidR="0055119E" w:rsidRPr="009153A6" w:rsidRDefault="0055119E">
      <w:pPr>
        <w:rPr>
          <w:rFonts w:ascii="Arial Narrow" w:hAnsi="Arial Narrow"/>
          <w:sz w:val="18"/>
          <w:szCs w:val="18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F70B94" w:rsidRPr="009153A6" w:rsidTr="009153A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F70B94" w:rsidRPr="009153A6" w:rsidRDefault="00F70B94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Mencatat panjar biaya perkara dalam buku jurnal biaya banding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F70B94" w:rsidRPr="009153A6" w:rsidRDefault="008C09BE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C09BE" w:rsidRPr="009153A6" w:rsidRDefault="008C09BE" w:rsidP="008C09BE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F70B94" w:rsidRPr="009153A6" w:rsidRDefault="00F70B94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F70B94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SKUM lembar pertama kepada Pemohon banding untuk disimpan oleh yang bersangkutan.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8C09BE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F70B94" w:rsidRPr="009153A6" w:rsidRDefault="00F70B94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F70B94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nyerahkan berkas perkara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banding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kepada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Pemohon banding untuk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mengajukan perkara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banding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nya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ke meja 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8C09BE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  <w:p w:rsidR="00F70B94" w:rsidRPr="009153A6" w:rsidRDefault="00F70B94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F70B94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permohonan banding yang telah dilampiri SKUM lembar kedua dan salinan putusan dari Pemohon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  <w:p w:rsidR="00F70B94" w:rsidRPr="009153A6" w:rsidRDefault="00F70B9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265ADA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F70B94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Menerbitkan akta banding dengan ditanda tangani oleh Panitera rangkap 3 plus sejumlah Terbanding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  <w:p w:rsidR="00F70B94" w:rsidRPr="009153A6" w:rsidRDefault="00F70B9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265ADA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F70B94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Menyerahkan akta banding beserta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lampirannya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kepada Pembanding untuk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daftarkan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bandingnya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ke 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Petugas Meja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</w:p>
          <w:p w:rsidR="00F70B94" w:rsidRPr="009153A6" w:rsidRDefault="00F70B9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265ADA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F70B94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pendaftaran banding dan mencatat dalam buku register gugatan dan register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Petugas Meja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I</w:t>
            </w:r>
          </w:p>
          <w:p w:rsidR="00F70B94" w:rsidRPr="009153A6" w:rsidRDefault="00F70B94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265ADA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F70B94" w:rsidRPr="009153A6" w:rsidRDefault="00F70B9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berkas banding kepada petugas meja I</w:t>
            </w:r>
            <w:r w:rsidR="00B80EB2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Petugas Meja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berkas banding dari Petugas 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Petugas Meja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  <w:r w:rsidR="00B80EB2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10 menit</w:t>
            </w:r>
          </w:p>
          <w:p w:rsidR="008C09BE" w:rsidRPr="009153A6" w:rsidRDefault="008C09BE" w:rsidP="00265ADA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60493A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JS/JP agar memberitahukan adanya banding kepada Terbanding/    para terbandin</w:t>
            </w:r>
            <w:r w:rsidR="00B36928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B80EB2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Panitera</w:t>
            </w:r>
          </w:p>
          <w:p w:rsidR="008C09BE" w:rsidRPr="009153A6" w:rsidRDefault="008C09BE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Paling lama  7 hari kerja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60493A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relass pemberitahuan banding kepada meja I</w:t>
            </w:r>
            <w:r w:rsidR="00B80EB2"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II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untuk dimasukkan di dalam berkas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10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menit</w:t>
            </w:r>
          </w:p>
          <w:p w:rsidR="008C09BE" w:rsidRPr="009153A6" w:rsidRDefault="008C09BE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9442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memory banding dari Pembanding dan kontra memory banding dari Terbanding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8C09BE" w:rsidRPr="009153A6" w:rsidRDefault="008C09BE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9442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DF4AF4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JS/JP agar menyam</w:t>
            </w:r>
            <w:r w:rsidR="005A4E3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paikan memory banding kepada Terbanding dan kontra memory banding kepada pembanding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Paling lama  7 hari kerja</w:t>
            </w:r>
          </w:p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9442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memori banding dan kontra memori banding kepada meja I</w:t>
            </w: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II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untuk di masukkan di dalam berkas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Petugas meja </w:t>
            </w: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9442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relass pemberita-huan memory/kontra memory banding kepada meja I untuk dimasukkan di dalam berkas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9442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JSP agar memberitahukan kesempatan inzage kepada para pihak dalam perkara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10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menit</w:t>
            </w:r>
          </w:p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9442B5">
        <w:tc>
          <w:tcPr>
            <w:tcW w:w="534" w:type="dxa"/>
            <w:tcBorders>
              <w:top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</w:tcBorders>
          </w:tcPr>
          <w:p w:rsidR="005A4E36" w:rsidRPr="009153A6" w:rsidRDefault="005A4E36" w:rsidP="001462FC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pemberitahuan inzage kepada meja I untuk dimasukkan di dalam berkas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5 menit</w:t>
            </w:r>
          </w:p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</w:tbl>
    <w:p w:rsidR="004E065D" w:rsidRPr="009153A6" w:rsidRDefault="004E065D">
      <w:pPr>
        <w:rPr>
          <w:rFonts w:ascii="Arial Narrow" w:hAnsi="Arial Narrow"/>
          <w:sz w:val="18"/>
          <w:szCs w:val="18"/>
        </w:rPr>
      </w:pPr>
    </w:p>
    <w:p w:rsidR="004E065D" w:rsidRPr="009153A6" w:rsidRDefault="004E065D">
      <w:pPr>
        <w:rPr>
          <w:rFonts w:ascii="Arial Narrow" w:hAnsi="Arial Narrow"/>
          <w:sz w:val="18"/>
          <w:szCs w:val="18"/>
        </w:rPr>
      </w:pPr>
      <w:r w:rsidRPr="009153A6">
        <w:rPr>
          <w:rFonts w:ascii="Arial Narrow" w:hAnsi="Arial Narrow"/>
          <w:sz w:val="18"/>
          <w:szCs w:val="18"/>
        </w:rPr>
        <w:br w:type="page"/>
      </w:r>
    </w:p>
    <w:p w:rsidR="004E065D" w:rsidRPr="009153A6" w:rsidRDefault="004E065D">
      <w:pPr>
        <w:rPr>
          <w:rFonts w:ascii="Arial Narrow" w:hAnsi="Arial Narrow"/>
          <w:sz w:val="18"/>
          <w:szCs w:val="18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8C09BE" w:rsidRPr="009153A6" w:rsidTr="005A4E3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C09BE" w:rsidRPr="001462FC" w:rsidRDefault="008C09BE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 w:cstheme="majorBidi"/>
                <w:sz w:val="18"/>
                <w:szCs w:val="18"/>
                <w:lang w:val="en-US"/>
              </w:rPr>
              <w:t>Menyusun dan menjilid bundel A dan bundel B perkara banding sesuai ketentuan bindalmin masing-masing rangkap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  <w:r w:rsidR="00B80EB2"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Setidak</w:t>
            </w:r>
          </w:p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nya 3 hari kerja sebelum tanggal/</w:t>
            </w:r>
          </w:p>
          <w:p w:rsidR="008C09BE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hari sidang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E25E0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1462FC" w:rsidRDefault="008C09BE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 w:cstheme="majorBidi"/>
                <w:sz w:val="18"/>
                <w:szCs w:val="18"/>
                <w:lang w:val="en-US"/>
              </w:rPr>
              <w:t>Mengirimkan berkas asli perkara banding ke Pengadilan Tinggi Agama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  <w:r w:rsidR="00B80EB2"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Segera diserah</w:t>
            </w:r>
          </w:p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kan setelah</w:t>
            </w:r>
          </w:p>
          <w:p w:rsidR="00265ADA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dilaksa</w:t>
            </w:r>
          </w:p>
          <w:p w:rsidR="008C09BE" w:rsidRPr="009153A6" w:rsidRDefault="00265ADA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nakan 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B244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1462FC" w:rsidRDefault="008C09BE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berkas (photo copy) kepada Panmud Gugatan untuk disimpan di box berkas berjalan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segera dibuat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B244B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1462FC" w:rsidRDefault="008C09BE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pemberitahuan pendaftaran perkara banding dari PTA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265ADA" w:rsidP="00265ADA">
            <w:pPr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segera di kirim</w:t>
            </w:r>
          </w:p>
          <w:p w:rsidR="008C09BE" w:rsidRPr="009153A6" w:rsidRDefault="008C09BE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C09BE" w:rsidRPr="009153A6" w:rsidTr="00B53498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1462FC" w:rsidRDefault="00433F23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Petugas Meja III m</w:t>
            </w:r>
            <w:r w:rsidRPr="001462FC">
              <w:rPr>
                <w:rFonts w:ascii="Arial Narrow" w:hAnsi="Arial Narrow"/>
                <w:noProof/>
                <w:sz w:val="18"/>
                <w:szCs w:val="18"/>
              </w:rPr>
              <w:t>enyerahkan instrumen tanggal surat pemberitahuan pendaftaran perkara banding dari PTA kepada 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265ADA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265ADA" w:rsidRPr="009153A6" w:rsidRDefault="00433F23" w:rsidP="00265AD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  <w:p w:rsidR="008C09BE" w:rsidRPr="009153A6" w:rsidRDefault="008C09BE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C09BE" w:rsidRPr="009153A6" w:rsidRDefault="008C09BE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9536F4" w:rsidRPr="009153A6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536F4" w:rsidRPr="009153A6" w:rsidRDefault="009536F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536F4" w:rsidRPr="009153A6" w:rsidRDefault="009536F4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536F4" w:rsidRPr="001462FC" w:rsidRDefault="00433F23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/>
                <w:noProof/>
                <w:sz w:val="18"/>
                <w:szCs w:val="18"/>
              </w:rPr>
              <w:t>Mencatat tanggal surat pemberitahuan pendaftaran perkara banding dari PTA ke register perkara dan register banding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536F4" w:rsidRPr="009153A6" w:rsidRDefault="00433F23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536F4" w:rsidRPr="009153A6" w:rsidRDefault="00433F23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9536F4" w:rsidRPr="009153A6" w:rsidRDefault="009536F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B4300" w:rsidRPr="009153A6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B4300" w:rsidRPr="009153A6" w:rsidRDefault="00BB430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B4300" w:rsidRPr="009153A6" w:rsidRDefault="00BB4300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B4300" w:rsidRPr="001462FC" w:rsidRDefault="00EA541C" w:rsidP="001462FC">
            <w:pPr>
              <w:pStyle w:val="ListParagraph"/>
              <w:numPr>
                <w:ilvl w:val="0"/>
                <w:numId w:val="26"/>
              </w:numPr>
              <w:ind w:left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/>
                <w:noProof/>
                <w:sz w:val="18"/>
                <w:szCs w:val="18"/>
              </w:rPr>
              <w:t>Menyerahkan surat pembe</w:t>
            </w:r>
            <w:r w:rsidRPr="001462FC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-</w:t>
            </w:r>
            <w:r w:rsidRPr="001462FC">
              <w:rPr>
                <w:rFonts w:ascii="Arial Narrow" w:hAnsi="Arial Narrow"/>
                <w:noProof/>
                <w:sz w:val="18"/>
                <w:szCs w:val="18"/>
              </w:rPr>
              <w:t>ritahuan pendaftaran perkara banding dari PTA kepada Panmud Gugatan untuk disimpan dalam box berkas berjalan</w:t>
            </w:r>
            <w:r w:rsidRPr="001462FC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B4300" w:rsidRPr="009153A6" w:rsidRDefault="00C92E6B" w:rsidP="000C62AB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B4300" w:rsidRPr="009153A6" w:rsidRDefault="00BB4300" w:rsidP="001F62AB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B4300" w:rsidRPr="009153A6" w:rsidRDefault="00BB430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BE027D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8C09BE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PENDAFTARAN PERKARA KASASI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pernyataan kasasi dari Pemohon kasasi dilampiri salinan putusan tingkat banding dan tingkat pertama yang diperoleh dari meja III (tiga rangkap)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auto"/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6B2E5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Meneliti surat permohonan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/ pernyataan kasasi beserta lampirannya berupa memory kasasi, salinan putusan banding dan salinan putusan tingkat pertama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943B97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Menaksir panjar biaya perkara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kasasi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dan membuat SKUM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943B97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pembayaran panjar biaya kasasi sesuai SKUM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Bank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1452F9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Memberi tanda lunas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pada SKUM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setelah Pemohon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kasasi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membayar panjar biaya perkara di Bank yang ditunjuk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1452F9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Mencatat panjar biaya kasasi dalam buku jurnal biaya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SKUM lembar pertama kepada Pemohon kasasi untuk disimpan oleh yang bersangkutan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Menempelkan SKUM lembar kedua pada surat permohonan kasasi dan menyerahkan kepada Pemohon kasasi untuk diajukan kasasi ke meja 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BE027D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BE027D" w:rsidRPr="009153A6" w:rsidRDefault="00BE027D" w:rsidP="001462FC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317" w:hanging="317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permohonan kasasi beserta lampirannya disertai SKUM lembar kedua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</w:tbl>
    <w:p w:rsidR="00BE027D" w:rsidRPr="009153A6" w:rsidRDefault="00BE027D">
      <w:pPr>
        <w:rPr>
          <w:rFonts w:ascii="Arial Narrow" w:hAnsi="Arial Narrow"/>
          <w:sz w:val="18"/>
          <w:szCs w:val="18"/>
        </w:rPr>
      </w:pPr>
    </w:p>
    <w:p w:rsidR="00BE027D" w:rsidRPr="009153A6" w:rsidRDefault="00BE027D">
      <w:pPr>
        <w:rPr>
          <w:rFonts w:ascii="Arial Narrow" w:hAnsi="Arial Narrow"/>
          <w:sz w:val="18"/>
          <w:szCs w:val="18"/>
        </w:rPr>
      </w:pPr>
      <w:r w:rsidRPr="009153A6">
        <w:rPr>
          <w:rFonts w:ascii="Arial Narrow" w:hAnsi="Arial Narrow"/>
          <w:sz w:val="18"/>
          <w:szCs w:val="18"/>
        </w:rPr>
        <w:br w:type="page"/>
      </w:r>
    </w:p>
    <w:p w:rsidR="00C758CE" w:rsidRPr="009153A6" w:rsidRDefault="00C758CE">
      <w:pPr>
        <w:rPr>
          <w:rFonts w:ascii="Arial Narrow" w:hAnsi="Arial Narrow"/>
          <w:sz w:val="18"/>
          <w:szCs w:val="18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577C57" w:rsidRPr="009153A6" w:rsidTr="00C758CE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Menerbitkan akta permohonan kasasi dengan ditanda tangani oleh Panitera rangkap 3 plus sejumlah Termohon kasasi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Menyerahkan akta permohonan kasasi beserta surat permohonan kasasi, SKUM dan lampirannya kepada Pemohon kasasi untuk didaftarkan ke 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pendaftaran permohonan kasasi dari Pemohon kasasi dan mencatat dalam buku register gugatan dan register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berkas kasasi kepada petugas meja 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berkas kasasi dari Petugas meja II untuk persiapan pemberkasan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JSP  agar memberitahukan adanya kasasi kepada Termohon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AA4C8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relass pemberitahuan Kasasi kepada meja I untu dimasukkan di dalam berkas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77C57">
            <w:pPr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Hari ke 2 setelah penunjuk</w:t>
            </w:r>
          </w:p>
          <w:p w:rsidR="00577C57" w:rsidRPr="009153A6" w:rsidRDefault="00577C57" w:rsidP="00577C57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a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n JSP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77C57" w:rsidRPr="009153A6" w:rsidTr="00E71A0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memory kasasi dari pemohon kasasi dan kontra memori kasasi kepada termohon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577C57" w:rsidRPr="009153A6" w:rsidRDefault="00577C5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D25B89" w:rsidRPr="009153A6" w:rsidTr="00E71A0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memory kasasi/kontra memory kasasi kepada meja II untuk dicatat di dalam register gugatan dan register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D25B89" w:rsidRPr="009153A6" w:rsidTr="00E71A0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memory kasasi/kontra memory kasasi kepada meja I untuk dimasukkan di dalam berkas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D25B89" w:rsidRPr="009153A6" w:rsidTr="00E71A0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JSP untuk memberitahukan tentang adanya memory/kontra memory kasasi kepada masing-masing pihak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D25B89" w:rsidRPr="009153A6" w:rsidTr="00E71A0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8268B3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relass pemberitahuan memory kasasi/kontra memory kasasi kepada meja I untuk dimasukkan di dalam berkas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8268B3" w:rsidP="008268B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Hari ke 2 setelah hari penun-jukan  JSP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D25B89" w:rsidRPr="009153A6" w:rsidRDefault="00D25B8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268B3" w:rsidRPr="009153A6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JSP agar memberitahukan kesempatan inzage kepada para pihak dalam perkara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268B3" w:rsidRPr="009153A6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pemberitahuan insage kepada meja I untuk dimasukkan di dalam berkas kasasi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Hari ke 2 setelah hari penun-jukan  JSP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268B3" w:rsidRPr="009153A6" w:rsidTr="00E71A0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Menyusun dan menjilid bundel A dan bundel B sesuai dengan urutan yang telah ditentukan masing-masing rangkap 2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8268B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 Jam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268B3" w:rsidRPr="009153A6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8268B3" w:rsidRPr="009153A6" w:rsidRDefault="008268B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8268B3" w:rsidRPr="009153A6" w:rsidRDefault="008268B3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8268B3" w:rsidRPr="009153A6" w:rsidRDefault="008268B3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Mengirim berkas kasasi (asli) ke Mahkamah Agung RI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Hari ke 30 dari hari pendaftaran kasasi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8268B3" w:rsidRPr="009153A6" w:rsidRDefault="008268B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</w:tbl>
    <w:p w:rsidR="005A4E36" w:rsidRDefault="005A4E36">
      <w:pPr>
        <w:rPr>
          <w:lang w:val="en-US"/>
        </w:rPr>
      </w:pPr>
    </w:p>
    <w:p w:rsidR="005A4E36" w:rsidRDefault="005A4E36">
      <w:pPr>
        <w:rPr>
          <w:lang w:val="en-US"/>
        </w:rPr>
      </w:pPr>
    </w:p>
    <w:p w:rsidR="005A4E36" w:rsidRDefault="005A4E36">
      <w:pPr>
        <w:rPr>
          <w:lang w:val="en-US"/>
        </w:rPr>
      </w:pPr>
    </w:p>
    <w:p w:rsidR="005A4E36" w:rsidRPr="005A4E36" w:rsidRDefault="005A4E36">
      <w:pPr>
        <w:rPr>
          <w:lang w:val="en-US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8268B3" w:rsidRPr="009153A6" w:rsidTr="005A4E3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268B3" w:rsidRPr="009153A6" w:rsidRDefault="008268B3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268B3" w:rsidRPr="009153A6" w:rsidRDefault="008268B3" w:rsidP="00DC1F8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berkas kasasi (Photo copy) kepada Panmud Gugatan untuk disimpan di dalam box berkas berjaalan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8268B3" w:rsidRPr="009153A6" w:rsidRDefault="008268B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8268B3" w:rsidRPr="009153A6" w:rsidTr="00B55D98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D84798" w:rsidP="00D8479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Petugas Meja III m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enyerahkan instrumen tanggal surat pemberitahuan pendaftaran perkara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kasasi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dari PTA kepada 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8268B3" w:rsidRPr="009153A6" w:rsidRDefault="008268B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606A9A" w:rsidRPr="009153A6" w:rsidTr="00B55D98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D84798" w:rsidP="00D8479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Mencatat tanggal surat pemberitahuan pendaftaran perkara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kasasi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dari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MA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ke register perkara dan register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kasasi.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606A9A" w:rsidRPr="009153A6" w:rsidTr="00B55D98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D84798" w:rsidP="00D84798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surat pemberita-huan Kasasi kepada Panmud gugatan untuk disimpan di dalam box berkas berjalan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06A9A" w:rsidRPr="009153A6" w:rsidRDefault="00606A9A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6B2E54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D</w:t>
            </w:r>
          </w:p>
          <w:p w:rsidR="00BE027D" w:rsidRPr="009153A6" w:rsidRDefault="00BE027D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E027D" w:rsidRPr="009153A6" w:rsidRDefault="00BE027D" w:rsidP="00D84798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PENDAFTARAN PERKARA PENINJAUAN</w:t>
            </w:r>
          </w:p>
          <w:p w:rsidR="00BE027D" w:rsidRPr="009153A6" w:rsidRDefault="00BE027D" w:rsidP="00D84798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KEMBALI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permohonan peninjauan kembali beserta alasannya dilampiri salinan putusan tingkat kasassi, salinan putusan tingkat banding dan salinan putusan tingkat pertama yang diperoleh dari meja III (tiga rangkap)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6B2E54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47700D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Meneliti surat permohonan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peninjauan kembali beserta lampirannya berupa salinan putusan kasasi</w:t>
            </w:r>
            <w:r w:rsidR="0047700D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,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salinan putusan banding </w:t>
            </w:r>
            <w:r w:rsidR="0047700D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dan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salinan putusan tingkat pertama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BE027D" w:rsidRPr="009153A6" w:rsidRDefault="00BE027D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BE027D" w:rsidRPr="009153A6" w:rsidTr="00396567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E027D" w:rsidRPr="009153A6" w:rsidRDefault="00BE027D" w:rsidP="009239A3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E027D" w:rsidRPr="009153A6" w:rsidRDefault="00BE027D" w:rsidP="009239A3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E027D" w:rsidRPr="009153A6" w:rsidRDefault="00BE027D" w:rsidP="009239A3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Menaksir panjar biaya perkara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peninjauaan kembal dan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membuat SKUM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E027D" w:rsidRPr="009153A6" w:rsidRDefault="00BE027D" w:rsidP="009239A3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BE027D" w:rsidRPr="009153A6" w:rsidRDefault="00BE027D" w:rsidP="009239A3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pembayaran panjar biaya perkara peninjauan kembali sesuai SKUM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Bank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Memberi tanda lunas pada SKUM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setelah Pemohon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PK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membayar panjar biaya perkara di Bank yang ditunjuk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Mencatat panjar biaya PK dalam buku jurnal biaya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SKUM lembar pertama kepada Pemohon PK untuk disimpan oleh yang bersangkutan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Menempelkan SKUM lembar kedua pada surat permohonan PK dan menyerahkan kepada Pemohon PK untuk diajukan PK ke meja 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permohonan PK beserta lampirannya disertai SKUM lembar kedua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Menerbitkan akta permohonan PK dengan ditanda tangani oleh Panitera rangkap 3 plus sejumlah Termohon PK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akta permohonan PK beserta surat permohonan PK, SKUM beserta lampirannya kepada Pemohon PK untuk didaftarkan ke meja II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A4E36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pendaftaran permohonan PK beserta alasan dan bukti-buktinya dari Pemohon PK serta mencatat dalam buku register gugatan dan register PK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</w:tcBorders>
          </w:tcPr>
          <w:p w:rsidR="005A4E36" w:rsidRPr="009153A6" w:rsidRDefault="005A4E36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</w:tbl>
    <w:p w:rsidR="00B55D98" w:rsidRPr="009153A6" w:rsidRDefault="00B55D98">
      <w:pPr>
        <w:rPr>
          <w:rFonts w:ascii="Arial Narrow" w:hAnsi="Arial Narrow"/>
          <w:sz w:val="18"/>
          <w:szCs w:val="18"/>
          <w:lang w:val="en-US"/>
        </w:rPr>
      </w:pPr>
    </w:p>
    <w:p w:rsidR="00D84798" w:rsidRPr="009153A6" w:rsidRDefault="002A759E" w:rsidP="002A759E">
      <w:pPr>
        <w:rPr>
          <w:rFonts w:ascii="Arial Narrow" w:hAnsi="Arial Narrow"/>
          <w:sz w:val="18"/>
          <w:szCs w:val="18"/>
          <w:lang w:val="en-US"/>
        </w:rPr>
      </w:pPr>
      <w:r w:rsidRPr="009153A6">
        <w:rPr>
          <w:rFonts w:ascii="Arial Narrow" w:hAnsi="Arial Narrow"/>
          <w:sz w:val="18"/>
          <w:szCs w:val="18"/>
          <w:lang w:val="en-US"/>
        </w:rPr>
        <w:br w:type="page"/>
      </w: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4F5B39" w:rsidRPr="00D52D5F" w:rsidTr="005A4E3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F5B39" w:rsidRPr="00D52D5F" w:rsidRDefault="004F5B3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F5B39" w:rsidRPr="00D52D5F" w:rsidRDefault="004F5B39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JSP agar memberitahukan adanya PK kepada Termohon P</w:t>
            </w:r>
            <w:r w:rsidR="0047700D"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F5B39" w:rsidRPr="00D52D5F" w:rsidRDefault="0047700D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4F5B39" w:rsidRPr="00D52D5F" w:rsidRDefault="004F5B3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4F5B39" w:rsidRPr="00D52D5F" w:rsidTr="00B55D98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relass pembe</w:t>
            </w:r>
            <w:r w:rsidR="00287DB7"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ritahuan PK kepada meja I</w:t>
            </w:r>
            <w:r w:rsidR="00287DB7"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I untuk dimasukkan di dalam berkas PK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4F5B3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Hari ke 2 setelah hari penun-jukan JSP</w:t>
            </w:r>
          </w:p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4F5B39" w:rsidRPr="00D52D5F" w:rsidTr="00074C79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Menerima surat jawaban atas permohonan peninjauan kembali dari Termohon peninjauan kembali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4F5B39" w:rsidRPr="00D52D5F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4F5B39" w:rsidRPr="00D52D5F" w:rsidRDefault="004F5B3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4F5B39" w:rsidRPr="00D52D5F" w:rsidRDefault="004F5B3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4F5B39" w:rsidRPr="00D52D5F" w:rsidRDefault="004F5B39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jawaban atas permohonan peninjauan kembali kepada meja II</w:t>
            </w:r>
            <w:r w:rsidR="00C10F7A"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untuk dimasukkan ke dalam berkas perkara peninjauan kembal</w:t>
            </w:r>
            <w:r w:rsidR="009239A3"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Hari ke 2 setelah hari penun-jukan JSP</w:t>
            </w:r>
          </w:p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4F5B39" w:rsidRPr="00D52D5F" w:rsidRDefault="004F5B3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4F5B39" w:rsidRPr="00D52D5F" w:rsidTr="005A4E3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4F5B39" w:rsidRPr="00D52D5F" w:rsidRDefault="004F5B39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4F5B39" w:rsidRPr="00D52D5F" w:rsidRDefault="004F5B39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Meneruskan berkas perkara PK kepada Panitera disertai blanko PMH, PHS dan Penunjukan panitera sidang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  <w:r w:rsidR="007C2271"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4F5B39" w:rsidRPr="00D52D5F" w:rsidRDefault="004F5B39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4F5B39" w:rsidRPr="00D52D5F" w:rsidRDefault="004F5B39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4F5B39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D52D5F">
              <w:rPr>
                <w:rFonts w:ascii="Arial Narrow" w:hAnsi="Arial Narrow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A162EF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Menunjuk panitera sidang perkara PK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F5B39" w:rsidRPr="00D52D5F" w:rsidRDefault="004F5B39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Menyerahkan berkas PK kepada Ketua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Menerbitkan Penetapan Majelis Hakim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7C2271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Menyerahkan b</w:t>
            </w:r>
            <w:r w:rsidR="007C2271" w:rsidRPr="00D52D5F">
              <w:rPr>
                <w:rFonts w:ascii="Arial Narrow" w:hAnsi="Arial Narrow"/>
                <w:sz w:val="18"/>
                <w:szCs w:val="18"/>
                <w:lang w:val="en-US"/>
              </w:rPr>
              <w:t>erkas perkara PK kepada Majlis H</w:t>
            </w: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akim yang ditunjuk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 xml:space="preserve">Ketua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Menerbitkan PHS dan memerintahkan JSP untuk memanggil para Pihak dalam perkara PK melalui Panitera sidang yang ditunjuk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Ketua Majelis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Menunjuk JSP agar memanggil para pihak dalam perkara PK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7C2271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Panitera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Menyerahkan relass panggilan kepada majlis hakim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JSP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4D40FB" w:rsidRPr="00D52D5F" w:rsidRDefault="004D40FB" w:rsidP="004D40F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Hari ke 2 setelah hari penunjuk</w:t>
            </w:r>
          </w:p>
          <w:p w:rsidR="004D40FB" w:rsidRPr="00D52D5F" w:rsidRDefault="004D40FB" w:rsidP="004D40FB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an JSP</w:t>
            </w:r>
          </w:p>
          <w:p w:rsidR="00A162EF" w:rsidRPr="00D52D5F" w:rsidRDefault="00A162EF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7C227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Melaksanakan sidang untuk memeriksa dan memastikan adanya alasan PK</w:t>
            </w:r>
            <w:r w:rsidR="007C2271" w:rsidRPr="00D52D5F">
              <w:rPr>
                <w:rFonts w:ascii="Arial Narrow" w:hAnsi="Arial Narrow"/>
                <w:sz w:val="18"/>
                <w:szCs w:val="18"/>
                <w:lang w:val="en-US"/>
              </w:rPr>
              <w:t>/</w:t>
            </w: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novum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Majelis Hakim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1x sidang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Menyerahkan berkas perkara beserta berita acara sidang  kepada meja I</w:t>
            </w:r>
            <w:r w:rsidR="007C2271" w:rsidRPr="00D52D5F">
              <w:rPr>
                <w:rFonts w:ascii="Arial Narrow" w:hAnsi="Arial Narrow"/>
                <w:sz w:val="18"/>
                <w:szCs w:val="18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Majelis Hakim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7 jam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001AFE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Menyusun dan menjilid bundel A dan bundel B perkara Peninjauan kembali sesuai ketentuan yang berlaku rangkap 2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Petugas meja I</w:t>
            </w:r>
            <w:r w:rsidR="007C2271" w:rsidRPr="00D52D5F">
              <w:rPr>
                <w:rFonts w:ascii="Arial Narrow" w:hAnsi="Arial Narrow"/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2 jam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9239A3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Mengirimkan berkas perkara PK (asli) ke Mahkamah Agung RI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Petugas meja I</w:t>
            </w:r>
            <w:r w:rsidR="007C2271" w:rsidRPr="00D52D5F">
              <w:rPr>
                <w:rFonts w:ascii="Arial Narrow" w:hAnsi="Arial Narrow"/>
                <w:sz w:val="18"/>
                <w:szCs w:val="18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4D40FB" w:rsidP="004D40FB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30 hari setelah hari pendaftaran permohonan PK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162EF" w:rsidRPr="00D52D5F" w:rsidTr="005A4E3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162EF" w:rsidRPr="00D52D5F" w:rsidRDefault="00A162EF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162EF" w:rsidRPr="00D52D5F" w:rsidRDefault="00A162EF" w:rsidP="00544D56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162EF" w:rsidRPr="00D52D5F" w:rsidRDefault="004D40FB" w:rsidP="00CB7B2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Menyerahkan berkas PK (photo copy) kepada Panmud Gugatan untuk disimpan di dalam box berkas berjalan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 xml:space="preserve">Petugas meja </w:t>
            </w:r>
            <w:r w:rsidR="007C2271" w:rsidRPr="00D52D5F">
              <w:rPr>
                <w:rFonts w:ascii="Arial Narrow" w:hAnsi="Arial Narrow"/>
                <w:sz w:val="18"/>
                <w:szCs w:val="18"/>
                <w:lang w:val="en-US"/>
              </w:rPr>
              <w:t>II</w:t>
            </w: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162EF" w:rsidRPr="00D52D5F" w:rsidRDefault="004D40FB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162EF" w:rsidRPr="00D52D5F" w:rsidRDefault="00A162E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A4E36" w:rsidRPr="00D52D5F" w:rsidTr="005A4E36">
        <w:tc>
          <w:tcPr>
            <w:tcW w:w="534" w:type="dxa"/>
            <w:tcBorders>
              <w:top w:val="single" w:sz="4" w:space="0" w:color="D9D9D9" w:themeColor="background1" w:themeShade="D9"/>
            </w:tcBorders>
          </w:tcPr>
          <w:p w:rsidR="005A4E36" w:rsidRPr="00D52D5F" w:rsidRDefault="005A4E36" w:rsidP="00396567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</w:tcBorders>
          </w:tcPr>
          <w:p w:rsidR="005A4E36" w:rsidRPr="00D52D5F" w:rsidRDefault="005A4E36" w:rsidP="00396567">
            <w:pPr>
              <w:tabs>
                <w:tab w:val="left" w:pos="317"/>
              </w:tabs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</w:tcBorders>
          </w:tcPr>
          <w:p w:rsidR="005A4E36" w:rsidRPr="00D52D5F" w:rsidRDefault="005A4E36" w:rsidP="0039656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Menerima surat pembe-ritahuan pendaftaran perkara PK dari Mahkamah Agung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</w:tcBorders>
          </w:tcPr>
          <w:p w:rsidR="005A4E36" w:rsidRPr="00D52D5F" w:rsidRDefault="005A4E36" w:rsidP="00396567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</w:tcBorders>
          </w:tcPr>
          <w:p w:rsidR="005A4E36" w:rsidRPr="00D52D5F" w:rsidRDefault="005A4E36" w:rsidP="00396567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D52D5F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</w:tcBorders>
          </w:tcPr>
          <w:p w:rsidR="005A4E36" w:rsidRPr="00D52D5F" w:rsidRDefault="005A4E36" w:rsidP="00396567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239A3" w:rsidRPr="009153A6" w:rsidRDefault="009239A3">
      <w:pPr>
        <w:rPr>
          <w:rFonts w:ascii="Arial Narrow" w:hAnsi="Arial Narrow"/>
          <w:sz w:val="18"/>
          <w:szCs w:val="18"/>
        </w:rPr>
      </w:pPr>
    </w:p>
    <w:p w:rsidR="009239A3" w:rsidRPr="009153A6" w:rsidRDefault="009239A3">
      <w:pPr>
        <w:rPr>
          <w:rFonts w:ascii="Arial Narrow" w:hAnsi="Arial Narrow"/>
          <w:sz w:val="18"/>
          <w:szCs w:val="18"/>
        </w:rPr>
      </w:pPr>
      <w:r w:rsidRPr="009153A6">
        <w:rPr>
          <w:rFonts w:ascii="Arial Narrow" w:hAnsi="Arial Narrow"/>
          <w:sz w:val="18"/>
          <w:szCs w:val="18"/>
        </w:rPr>
        <w:br w:type="page"/>
      </w:r>
    </w:p>
    <w:p w:rsidR="009239A3" w:rsidRPr="009153A6" w:rsidRDefault="009239A3">
      <w:pPr>
        <w:rPr>
          <w:rFonts w:ascii="Arial Narrow" w:hAnsi="Arial Narrow"/>
          <w:sz w:val="18"/>
          <w:szCs w:val="18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1134"/>
      </w:tblGrid>
      <w:tr w:rsidR="00A61981" w:rsidRPr="009153A6" w:rsidTr="005A4E36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61981" w:rsidRPr="009153A6" w:rsidRDefault="00A61981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61981" w:rsidRPr="009153A6" w:rsidRDefault="00A61981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61981" w:rsidRPr="009153A6" w:rsidRDefault="00A376D7" w:rsidP="00A376D7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Petugas Meja III m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enyerahkan instrumen tanggal surat pemberitahuan pendaftaran perkara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PK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dari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MA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kepada Meja II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A61981" w:rsidRPr="009153A6" w:rsidRDefault="00A61981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A61981" w:rsidRPr="009153A6" w:rsidTr="00C867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A61981" w:rsidRPr="009153A6" w:rsidRDefault="00A61981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A61981" w:rsidRPr="009153A6" w:rsidRDefault="00A61981" w:rsidP="00544D56">
            <w:pPr>
              <w:tabs>
                <w:tab w:val="left" w:pos="317"/>
              </w:tabs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A61981" w:rsidRPr="009153A6" w:rsidRDefault="00653CFF" w:rsidP="00653CFF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Mencatat tanggal surat pemberitahuan pendaftaran perkara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PK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dari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MA</w:t>
            </w:r>
            <w:r w:rsidRPr="009153A6">
              <w:rPr>
                <w:rFonts w:ascii="Arial Narrow" w:hAnsi="Arial Narrow"/>
                <w:noProof/>
                <w:sz w:val="18"/>
                <w:szCs w:val="18"/>
              </w:rPr>
              <w:t xml:space="preserve"> ke register perkara dan register </w:t>
            </w:r>
            <w:r w:rsidRPr="009153A6">
              <w:rPr>
                <w:rFonts w:ascii="Arial Narrow" w:hAnsi="Arial Narrow"/>
                <w:noProof/>
                <w:sz w:val="18"/>
                <w:szCs w:val="18"/>
                <w:lang w:val="en-US"/>
              </w:rPr>
              <w:t>kasasi.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A61981" w:rsidRPr="009153A6" w:rsidRDefault="00653CFF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A61981" w:rsidRPr="009153A6" w:rsidRDefault="00A61981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A61981" w:rsidRPr="009153A6" w:rsidRDefault="00A61981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A61981" w:rsidRPr="009153A6" w:rsidTr="002A759E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D9D9D9" w:themeFill="background1" w:themeFillShade="D9"/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D9D9D9" w:themeFill="background1" w:themeFillShade="D9"/>
          </w:tcPr>
          <w:p w:rsidR="00A61981" w:rsidRPr="001462FC" w:rsidRDefault="00A61981" w:rsidP="00CB692E">
            <w:pPr>
              <w:jc w:val="center"/>
              <w:rPr>
                <w:rFonts w:ascii="Arial Narrow" w:hAnsi="Arial Narrow" w:cstheme="majorBidi"/>
                <w:b/>
                <w:bCs/>
                <w:sz w:val="18"/>
                <w:szCs w:val="18"/>
              </w:rPr>
            </w:pP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</w:rPr>
              <w:t>PENGAJUAN GU</w:t>
            </w:r>
            <w:r w:rsidR="00CB692E" w:rsidRPr="001462FC"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  <w:t>-</w:t>
            </w: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</w:rPr>
              <w:t>GATAN/PERMO</w:t>
            </w:r>
            <w:r w:rsidR="00CB692E" w:rsidRPr="001462FC">
              <w:rPr>
                <w:rFonts w:ascii="Arial Narrow" w:hAnsi="Arial Narrow" w:cstheme="majorBidi"/>
                <w:b/>
                <w:bCs/>
                <w:sz w:val="18"/>
                <w:szCs w:val="18"/>
                <w:lang w:val="en-US"/>
              </w:rPr>
              <w:t>-</w:t>
            </w:r>
            <w:r w:rsidRPr="001462FC">
              <w:rPr>
                <w:rFonts w:ascii="Arial Narrow" w:hAnsi="Arial Narrow" w:cstheme="majorBidi"/>
                <w:b/>
                <w:bCs/>
                <w:sz w:val="18"/>
                <w:szCs w:val="18"/>
              </w:rPr>
              <w:t>HONAN SECARA PRODEO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D9D9D9" w:themeFill="background1" w:themeFillShade="D9"/>
          </w:tcPr>
          <w:p w:rsidR="00A61981" w:rsidRPr="009153A6" w:rsidRDefault="00A61981" w:rsidP="00A61981">
            <w:pPr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D9D9D9" w:themeFill="background1" w:themeFillShade="D9"/>
          </w:tcPr>
          <w:p w:rsidR="00A61981" w:rsidRPr="009153A6" w:rsidRDefault="00A61981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D9D9D9" w:themeFill="background1" w:themeFillShade="D9"/>
          </w:tcPr>
          <w:p w:rsidR="00A61981" w:rsidRPr="009153A6" w:rsidRDefault="00A61981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shd w:val="clear" w:color="auto" w:fill="D9D9D9" w:themeFill="background1" w:themeFillShade="D9"/>
          </w:tcPr>
          <w:p w:rsidR="00A61981" w:rsidRPr="009153A6" w:rsidRDefault="00A61981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A61981" w:rsidRPr="009153A6" w:rsidTr="00074C79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1462FC">
            <w:pPr>
              <w:pStyle w:val="ListParagraph"/>
              <w:numPr>
                <w:ilvl w:val="0"/>
                <w:numId w:val="15"/>
              </w:numPr>
              <w:tabs>
                <w:tab w:val="left" w:pos="317"/>
              </w:tabs>
              <w:ind w:left="317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1462FC">
              <w:rPr>
                <w:rFonts w:ascii="Arial Narrow" w:hAnsi="Arial Narrow" w:cstheme="majorBidi"/>
                <w:b/>
                <w:bCs/>
                <w:color w:val="0070C0"/>
                <w:sz w:val="18"/>
                <w:szCs w:val="18"/>
              </w:rPr>
              <w:t>YANG DIBIAYAI   NEGARA (DIPA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61981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Penggugat/Pemohon yang mengajukan gugatan/</w:t>
            </w:r>
            <w:r w:rsidR="002A759E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permo</w:t>
            </w:r>
            <w:r w:rsidR="00E534C1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honan disamping mengajukan gugatan juga dalam surat gugatan/permohonan tersebut sudah menyebutkan akan berperkara secara prodeo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vMerge w:val="restart"/>
            <w:tcBorders>
              <w:top w:val="single" w:sz="4" w:space="0" w:color="F2F2F2" w:themeColor="background1" w:themeShade="F2"/>
            </w:tcBorders>
          </w:tcPr>
          <w:p w:rsidR="00A61981" w:rsidRPr="009153A6" w:rsidRDefault="00A61981" w:rsidP="007131C6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Utk memudah</w:t>
            </w:r>
            <w:r w:rsidR="007131C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kan Hakim menghi</w:t>
            </w:r>
            <w:r w:rsidR="007131C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tung biaya, </w:t>
            </w:r>
            <w:r w:rsidR="007131C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maka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petugas meja I </w:t>
            </w:r>
            <w:r w:rsidR="007131C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tetap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mengisi instru</w:t>
            </w:r>
          </w:p>
          <w:p w:rsidR="00A61981" w:rsidRPr="009153A6" w:rsidRDefault="00A61981" w:rsidP="007131C6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 taksiran biaya perkara dan melam</w:t>
            </w:r>
          </w:p>
          <w:p w:rsidR="00A61981" w:rsidRPr="009153A6" w:rsidRDefault="00A61981" w:rsidP="007131C6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pirkan</w:t>
            </w:r>
            <w:r w:rsidR="007131C6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nya</w:t>
            </w:r>
          </w:p>
          <w:p w:rsidR="00A61981" w:rsidRPr="009153A6" w:rsidRDefault="00A61981" w:rsidP="007131C6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dalam berkas</w:t>
            </w:r>
          </w:p>
          <w:p w:rsidR="00A61981" w:rsidRPr="009153A6" w:rsidRDefault="00A61981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A61981" w:rsidRPr="009153A6" w:rsidTr="00C867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8823D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61981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Surat gugatan/permohonan diterima Petugas Meja I sebanyak jumlah Tergugat + 4 eksamplar untuk Majelis Hakim. Bersamaan dengan surat gugatan/permohonan tsb.yang bersangkutan melampirkan surat keterangan tidak mampu yang dikeluarkan oleh Lurah/Kepala Desa dan diketahui oleh camat tempat tinggal Penggugat/</w:t>
            </w:r>
            <w:r w:rsidR="00E534C1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Pemohon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vMerge/>
            <w:tcBorders>
              <w:bottom w:val="single" w:sz="4" w:space="0" w:color="F2F2F2" w:themeColor="background1" w:themeShade="F2"/>
            </w:tcBorders>
          </w:tcPr>
          <w:p w:rsidR="00A61981" w:rsidRPr="009153A6" w:rsidRDefault="00A61981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A61981" w:rsidRPr="009153A6" w:rsidTr="00C867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8823D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A61981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Membuat SKUM rangkap 3 yang diisi dengan Rp 0,00 (nol rupiah), lalu diberi nomor dan di cap/stempel PRODEO. Selanjutnya berkas perkara yang dilampiri dengan SKUM dikembalikan kepada Penggugat/</w:t>
            </w:r>
            <w:r w:rsidR="0078423C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Pemohon untuk diserahkan ke petugas meja II.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A61981" w:rsidP="00C17049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A61981" w:rsidRPr="009153A6" w:rsidRDefault="0078423C" w:rsidP="0078423C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Kasir mencantumkan radius para pihak dalam instrument khusus</w:t>
            </w:r>
          </w:p>
        </w:tc>
      </w:tr>
      <w:tr w:rsidR="000C00D0" w:rsidRPr="009153A6" w:rsidTr="00C867A1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00D0" w:rsidRPr="009153A6" w:rsidRDefault="000C00D0" w:rsidP="00A162EF">
            <w:pPr>
              <w:jc w:val="right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00D0" w:rsidRPr="009153A6" w:rsidRDefault="000C00D0" w:rsidP="008823D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00D0" w:rsidRPr="009153A6" w:rsidRDefault="000C00D0" w:rsidP="00A61981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Kasir mencatat Rp0,00 dalam buku register keuangan perkara;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00D0" w:rsidRPr="009153A6" w:rsidRDefault="000C00D0" w:rsidP="00C17049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00D0" w:rsidRPr="009153A6" w:rsidRDefault="000C00D0" w:rsidP="00C17049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0C00D0" w:rsidRPr="009153A6" w:rsidRDefault="000C00D0" w:rsidP="0078423C">
            <w:pPr>
              <w:jc w:val="center"/>
              <w:rPr>
                <w:rFonts w:ascii="Arial Narrow" w:hAnsi="Arial Narrow" w:cstheme="majorBidi"/>
                <w:color w:val="FF0000"/>
                <w:sz w:val="18"/>
                <w:szCs w:val="18"/>
                <w:lang w:val="en-US"/>
              </w:rPr>
            </w:pPr>
          </w:p>
        </w:tc>
      </w:tr>
      <w:tr w:rsidR="00A61981" w:rsidRPr="009153A6" w:rsidTr="00396567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61981" w:rsidRPr="009153A6" w:rsidRDefault="00A61981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61981" w:rsidRPr="009153A6" w:rsidRDefault="00A61981" w:rsidP="008823D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61981" w:rsidRPr="009153A6" w:rsidRDefault="00A61981" w:rsidP="00D52D5F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Penggugat/Pemohon menyerahkan berkas ke Petugas Meja II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61981" w:rsidRPr="00D52D5F" w:rsidRDefault="00A61981" w:rsidP="00D52D5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Penggugat/</w:t>
            </w:r>
            <w:r w:rsidR="00E534C1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Pemohon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61981" w:rsidRPr="009153A6" w:rsidRDefault="00A61981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A61981" w:rsidRPr="009153A6" w:rsidRDefault="00A61981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  <w:p w:rsidR="00CB692E" w:rsidRPr="009153A6" w:rsidRDefault="00CB692E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</w:p>
        </w:tc>
      </w:tr>
      <w:tr w:rsidR="00396567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Menerima, mencatat nomor perkara, tanggal pendaftaran di lembar pertama surat gugatan dan sampul map, setelah itu surat gugatan dilampiri SKUM diserahkan satu rangkap kepada Penggugat/Pemohon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96567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color w:val="E36C0A" w:themeColor="accent6" w:themeShade="BF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color w:val="E36C0A" w:themeColor="accent6" w:themeShade="BF"/>
                <w:sz w:val="18"/>
                <w:szCs w:val="18"/>
              </w:rPr>
              <w:t>Mencatat nomor perkara,  tanggal pendaftaran dan identitas para pihak dalam register gugatan/ permohonan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96567" w:rsidRPr="009153A6" w:rsidTr="0039656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Proses perjalanan berkas perkara hingga ditetapkan Majelis Hakimnya, sama dengan proses penerimaan perkara biasa (non prodeo).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Ketua Majelis, 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PP/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Jsp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96567" w:rsidRPr="008964AE" w:rsidTr="006D0B3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8964AE" w:rsidRDefault="00396567" w:rsidP="00396567">
            <w:pPr>
              <w:jc w:val="right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8964AE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8964AE" w:rsidRDefault="00396567" w:rsidP="00BF71D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  <w:r w:rsidRPr="008964AE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Panggilan perta</w:t>
            </w:r>
            <w:r w:rsidR="00BF71DA" w:rsidRPr="008964AE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 xml:space="preserve">ma, </w:t>
            </w:r>
            <w:r w:rsidR="00BF71DA" w:rsidRPr="008964AE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PBT dan panggilan ikrar, tidak dibayar oleh DIPA</w:t>
            </w:r>
            <w:r w:rsidR="008964AE" w:rsidRPr="008964AE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8964AE" w:rsidRDefault="00396567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8964AE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Kasir/Jsp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8964AE" w:rsidRDefault="00396567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8964AE" w:rsidRDefault="00396567" w:rsidP="00396567">
            <w:pPr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</w:tr>
      <w:tr w:rsidR="006D0B32" w:rsidRPr="006D0B32" w:rsidTr="002D089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D0B32" w:rsidRPr="006D0B32" w:rsidRDefault="006D0B32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D0B32" w:rsidRPr="006D0B32" w:rsidRDefault="006D0B32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D0B32" w:rsidRPr="00D52D5F" w:rsidRDefault="006D0B32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color w:val="FF0000"/>
                <w:sz w:val="18"/>
                <w:szCs w:val="18"/>
              </w:rPr>
            </w:pP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Berdasarkan putusan sela </w:t>
            </w:r>
            <w:r w:rsidRPr="00D52D5F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yang </w:t>
            </w: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>mengizinkan untuk berperkara secara prodeo</w:t>
            </w:r>
            <w:r w:rsidRPr="00D52D5F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>,</w:t>
            </w: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 K</w:t>
            </w:r>
            <w:r w:rsidR="00D52D5F" w:rsidRPr="00D52D5F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uasa </w:t>
            </w: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>P</w:t>
            </w:r>
            <w:r w:rsidR="00D52D5F" w:rsidRPr="00D52D5F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engguna </w:t>
            </w: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>A</w:t>
            </w:r>
            <w:r w:rsidR="00D52D5F" w:rsidRPr="00D52D5F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>nggaran (KPA)</w:t>
            </w: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 membuat surat keputusan yang memerintah</w:t>
            </w:r>
            <w:r w:rsidR="00D52D5F" w:rsidRPr="00D52D5F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>kan</w:t>
            </w:r>
            <w:r w:rsidRPr="006D0B32">
              <w:rPr>
                <w:rFonts w:ascii="Arial Narrow" w:hAnsi="Arial Narrow"/>
                <w:color w:val="31849B" w:themeColor="accent5" w:themeShade="BF"/>
                <w:sz w:val="18"/>
                <w:szCs w:val="18"/>
              </w:rPr>
              <w:t xml:space="preserve"> kepada bendahara untuk mengeluarkan uang kepada kasir sebesar Rp300.000 (tiga ratus ribu rupiah)/perkara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D0B32" w:rsidRDefault="006D0B32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Ketua Majelis,</w:t>
            </w:r>
          </w:p>
          <w:p w:rsidR="006D0B32" w:rsidRDefault="006D0B32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KPA</w:t>
            </w:r>
          </w:p>
          <w:p w:rsidR="006D0B32" w:rsidRPr="006D0B32" w:rsidRDefault="006D0B32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D0B32" w:rsidRPr="006D0B32" w:rsidRDefault="006D0B32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30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6D0B32" w:rsidRDefault="006D0B32" w:rsidP="006D0B32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Ptsn sela</w:t>
            </w:r>
          </w:p>
          <w:p w:rsidR="006D0B32" w:rsidRDefault="006D0B32" w:rsidP="006D0B32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Sk KPA</w:t>
            </w:r>
          </w:p>
          <w:p w:rsidR="006D0B32" w:rsidRDefault="006D0B32" w:rsidP="006D0B32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Instrument</w:t>
            </w:r>
          </w:p>
          <w:p w:rsidR="006D0B32" w:rsidRPr="006D0B32" w:rsidRDefault="006D0B32" w:rsidP="006D0B32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Tanda terima</w:t>
            </w:r>
          </w:p>
        </w:tc>
      </w:tr>
    </w:tbl>
    <w:p w:rsidR="006D0B32" w:rsidRPr="006D0B32" w:rsidRDefault="006D0B32">
      <w:pPr>
        <w:rPr>
          <w:lang w:val="en-US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2"/>
        <w:gridCol w:w="1984"/>
        <w:gridCol w:w="3119"/>
        <w:gridCol w:w="1419"/>
        <w:gridCol w:w="992"/>
        <w:gridCol w:w="1134"/>
      </w:tblGrid>
      <w:tr w:rsidR="006D0B32" w:rsidRPr="00BF71DA" w:rsidTr="002D089A">
        <w:tc>
          <w:tcPr>
            <w:tcW w:w="53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D0B32" w:rsidRPr="00BF71DA" w:rsidRDefault="006D0B32" w:rsidP="00396567">
            <w:pPr>
              <w:jc w:val="right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D0B32" w:rsidRPr="00BF71DA" w:rsidRDefault="006D0B32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D0B32" w:rsidRPr="00BF71DA" w:rsidRDefault="0011655B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</w:pP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>Bendahara atas perintah KPA menyer</w:t>
            </w:r>
            <w:r w:rsidR="00D52D5F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>a</w:t>
            </w: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>hkan uang sebesar Rp300</w:t>
            </w:r>
            <w:r w:rsidR="00BF71DA"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>.000 kepada kasir (disertai tanda terima).</w:t>
            </w:r>
          </w:p>
          <w:p w:rsidR="00BF71DA" w:rsidRPr="00BF71DA" w:rsidRDefault="00BF71DA" w:rsidP="00BF71DA">
            <w:pPr>
              <w:pStyle w:val="ListParagraph"/>
              <w:spacing w:before="240" w:line="240" w:lineRule="auto"/>
              <w:ind w:left="360"/>
              <w:jc w:val="both"/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Dana tersebut diambil dari UMP/UP</w:t>
            </w: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 xml:space="preserve">. </w:t>
            </w: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Setelah penggunaaan UMP/UP mencapai 75%, bendahara memper</w:t>
            </w:r>
            <w:r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>-</w:t>
            </w: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tanggungjawaban uang tersebut ke KPPN, dan setelah itu bendaharawan dapat meminta/mengajuan persediaan kembali ke KPPN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D0B32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Bendahara</w:t>
            </w:r>
          </w:p>
          <w:p w:rsidR="00BF71DA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D0B32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10 menit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6D0B32" w:rsidRPr="00BF71DA" w:rsidRDefault="006D0B32" w:rsidP="006D0B32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</w:tr>
      <w:tr w:rsidR="0011655B" w:rsidRPr="00BF71DA" w:rsidTr="002D089A">
        <w:tc>
          <w:tcPr>
            <w:tcW w:w="53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1655B" w:rsidRPr="00BF71DA" w:rsidRDefault="0011655B" w:rsidP="00396567">
            <w:pPr>
              <w:jc w:val="right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1655B" w:rsidRPr="00BF71DA" w:rsidRDefault="0011655B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1655B" w:rsidRPr="00BF71DA" w:rsidRDefault="0011655B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</w:pP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 xml:space="preserve">Kasir mencatat uang yang diterima </w:t>
            </w:r>
            <w:r w:rsidR="00BF71DA"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 xml:space="preserve">dari bendahara </w:t>
            </w: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dan pengeluarannya dalam buku jurnal sesuai dengan pola bindalmin</w:t>
            </w:r>
          </w:p>
        </w:tc>
        <w:tc>
          <w:tcPr>
            <w:tcW w:w="14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1655B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1655B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11655B" w:rsidRPr="00BF71DA" w:rsidRDefault="0011655B" w:rsidP="006D0B32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</w:tr>
      <w:tr w:rsidR="00BF71DA" w:rsidRPr="00BF71DA" w:rsidTr="002D089A">
        <w:tc>
          <w:tcPr>
            <w:tcW w:w="53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F71DA" w:rsidRPr="00BF71DA" w:rsidRDefault="00BF71DA" w:rsidP="00396567">
            <w:pPr>
              <w:jc w:val="right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F71DA" w:rsidRPr="00BF71DA" w:rsidRDefault="00BF71DA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F71DA" w:rsidRPr="00BF71DA" w:rsidRDefault="00BF71DA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</w:pP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Biaya redaksi dan pedaftaran untuk perkara prodeo tidak dipungut</w:t>
            </w:r>
          </w:p>
        </w:tc>
        <w:tc>
          <w:tcPr>
            <w:tcW w:w="14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F71DA" w:rsidRPr="00BF71DA" w:rsidRDefault="00AD6263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F71DA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BF71DA" w:rsidRPr="00BF71DA" w:rsidRDefault="00BF71DA" w:rsidP="006D0B32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</w:tr>
      <w:tr w:rsidR="00BF71DA" w:rsidRPr="00BF71DA" w:rsidTr="002D089A">
        <w:tc>
          <w:tcPr>
            <w:tcW w:w="53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F71DA" w:rsidRPr="00BF71DA" w:rsidRDefault="00BF71DA" w:rsidP="00396567">
            <w:pPr>
              <w:jc w:val="right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F71DA" w:rsidRPr="00BF71DA" w:rsidRDefault="00BF71DA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F71DA" w:rsidRPr="00BF71DA" w:rsidRDefault="00BF71DA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</w:pPr>
            <w:r w:rsidRPr="00BF71DA">
              <w:rPr>
                <w:rFonts w:ascii="Arial Narrow" w:hAnsi="Arial Narrow"/>
                <w:color w:val="548DD4" w:themeColor="text2" w:themeTint="99"/>
                <w:sz w:val="18"/>
                <w:szCs w:val="18"/>
              </w:rPr>
              <w:t>Sisa anggaran (jika ada) dikembalikan ke kas Negara</w:t>
            </w:r>
            <w:r w:rsidR="00AD6263">
              <w:rPr>
                <w:rFonts w:ascii="Arial Narrow" w:hAnsi="Arial Narrow"/>
                <w:color w:val="548DD4" w:themeColor="text2" w:themeTint="99"/>
                <w:sz w:val="18"/>
                <w:szCs w:val="18"/>
                <w:lang w:val="en-US"/>
              </w:rPr>
              <w:t xml:space="preserve"> melalui bendahara.</w:t>
            </w:r>
          </w:p>
        </w:tc>
        <w:tc>
          <w:tcPr>
            <w:tcW w:w="1419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F71DA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Kasir</w:t>
            </w:r>
          </w:p>
          <w:p w:rsidR="00BF71DA" w:rsidRPr="00BF71DA" w:rsidRDefault="00BF71DA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 w:rsidRPr="00BF71DA"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F71DA" w:rsidRPr="00BF71DA" w:rsidRDefault="00AD6263" w:rsidP="00396567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  <w:r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BF71DA" w:rsidRPr="00BF71DA" w:rsidRDefault="00BF71DA" w:rsidP="006D0B32">
            <w:pPr>
              <w:jc w:val="center"/>
              <w:rPr>
                <w:rFonts w:ascii="Arial Narrow" w:hAnsi="Arial Narrow" w:cstheme="majorBidi"/>
                <w:color w:val="548DD4" w:themeColor="text2" w:themeTint="99"/>
                <w:sz w:val="18"/>
                <w:szCs w:val="18"/>
                <w:lang w:val="en-US"/>
              </w:rPr>
            </w:pPr>
          </w:p>
        </w:tc>
      </w:tr>
      <w:tr w:rsidR="00DC3D6A" w:rsidRPr="009153A6" w:rsidTr="002D089A">
        <w:tc>
          <w:tcPr>
            <w:tcW w:w="53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C3D6A" w:rsidRPr="009153A6" w:rsidRDefault="00DC3D6A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C3D6A" w:rsidRPr="009153A6" w:rsidRDefault="00DC3D6A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C3D6A" w:rsidRPr="009153A6" w:rsidRDefault="00DC3D6A" w:rsidP="00DC3D6A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Pada persidangan pertama (dalam persidangan insidentiil). jika ternyata tidak dikabulkan </w:t>
            </w:r>
            <w:r w:rsidR="00B468A4" w:rsidRPr="009153A6">
              <w:rPr>
                <w:rFonts w:ascii="Arial Narrow" w:hAnsi="Arial Narrow" w:cstheme="majorBidi"/>
                <w:sz w:val="18"/>
                <w:szCs w:val="18"/>
              </w:rPr>
              <w:t>untuk berperkara secara prodeo, maka kepada Penggugat/ Pemohon diperin-tahkan untuk membayar panjar biaya perkara</w:t>
            </w:r>
            <w:r w:rsidRPr="00C33312">
              <w:rPr>
                <w:rFonts w:ascii="Arial Narrow" w:hAnsi="Arial Narrow" w:cstheme="majorBidi"/>
                <w:sz w:val="18"/>
                <w:szCs w:val="18"/>
              </w:rPr>
              <w:t>.</w:t>
            </w:r>
            <w:r w:rsidR="00C33312" w:rsidRPr="00C33312">
              <w:rPr>
                <w:rFonts w:ascii="Arial Narrow" w:hAnsi="Arial Narrow" w:cstheme="majorBidi"/>
                <w:sz w:val="18"/>
                <w:szCs w:val="18"/>
              </w:rPr>
              <w:t xml:space="preserve"> </w:t>
            </w:r>
            <w:r w:rsidR="00C33312" w:rsidRPr="009153A6">
              <w:rPr>
                <w:rFonts w:ascii="Arial Narrow" w:hAnsi="Arial Narrow" w:cstheme="majorBidi"/>
                <w:sz w:val="18"/>
                <w:szCs w:val="18"/>
              </w:rPr>
              <w:t>sesuai batasan waktu yang diberikan oleh Majelis, termasuk biaya/ongkos panggilan pertama</w:t>
            </w:r>
          </w:p>
        </w:tc>
        <w:tc>
          <w:tcPr>
            <w:tcW w:w="1419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C3D6A" w:rsidRPr="009153A6" w:rsidRDefault="00DC3D6A" w:rsidP="008823D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C3D6A" w:rsidRPr="009153A6" w:rsidRDefault="00DC3D6A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C3D6A" w:rsidRPr="009153A6" w:rsidRDefault="00DC3D6A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96567" w:rsidRPr="009153A6" w:rsidTr="002D089A">
        <w:tc>
          <w:tcPr>
            <w:tcW w:w="53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C3331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Penggugat/Pemohon menghadap Petugas Meja I dan  Petugas Meja I menghitung panjar biaya perkara dan dituangkan dalam SKUM</w:t>
            </w:r>
            <w:r w:rsidR="00C33312">
              <w:rPr>
                <w:rFonts w:ascii="Arial Narrow" w:hAnsi="Arial Narrow" w:cstheme="majorBidi"/>
                <w:sz w:val="18"/>
                <w:szCs w:val="18"/>
                <w:lang w:val="en-US"/>
              </w:rPr>
              <w:t>;</w:t>
            </w:r>
          </w:p>
        </w:tc>
        <w:tc>
          <w:tcPr>
            <w:tcW w:w="14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I, Kasir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1 Jam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96567" w:rsidRPr="009153A6" w:rsidTr="002D089A">
        <w:tc>
          <w:tcPr>
            <w:tcW w:w="53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C3331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Penggugat/Pemohon menyetor panjar biaya perkara ke bank </w:t>
            </w:r>
            <w:r w:rsidR="00C33312">
              <w:rPr>
                <w:rFonts w:ascii="Arial Narrow" w:hAnsi="Arial Narrow" w:cstheme="majorBidi"/>
                <w:sz w:val="18"/>
                <w:szCs w:val="18"/>
                <w:lang w:val="en-US"/>
              </w:rPr>
              <w:t>Syari’ah Mandiri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 Kuala Tungkal sesuai yang tercantum dalam SKUM</w:t>
            </w:r>
          </w:p>
        </w:tc>
        <w:tc>
          <w:tcPr>
            <w:tcW w:w="141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C33312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Penggugat dan pihak bank 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C33312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>
              <w:rPr>
                <w:rFonts w:ascii="Arial Narrow" w:hAnsi="Arial Narrow" w:cstheme="majorBidi"/>
                <w:sz w:val="18"/>
                <w:szCs w:val="18"/>
                <w:lang w:val="en-US"/>
              </w:rPr>
              <w:t>30</w:t>
            </w:r>
            <w:r w:rsidR="00396567" w:rsidRPr="009153A6">
              <w:rPr>
                <w:rFonts w:ascii="Arial Narrow" w:hAnsi="Arial Narrow" w:cstheme="majorBidi"/>
                <w:sz w:val="18"/>
                <w:szCs w:val="18"/>
              </w:rPr>
              <w:t xml:space="preserve">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96567" w:rsidRPr="009153A6" w:rsidTr="002D089A">
        <w:tc>
          <w:tcPr>
            <w:tcW w:w="532" w:type="dxa"/>
            <w:tcBorders>
              <w:top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Penggugat/Pemohon menyerahkan slip setoran bank dan SKUM ke Kasir dan Kasir membubuhkan cap/stempel LUNAS pada SKUM dan mencatat nomor sesuai dengan SKUM pertama (SKUM PRODEO), SKUM lembar I diserahkan kepada Penggugat, lembar kedua diserahkan kepada Ketua Majelis yang menyidangkan melalui Panitera Pengganti dan lembar ketiga untuk arsif bagi Kasir</w:t>
            </w:r>
          </w:p>
        </w:tc>
        <w:tc>
          <w:tcPr>
            <w:tcW w:w="1419" w:type="dxa"/>
            <w:tcBorders>
              <w:top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Kasir, Majelis/PP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15 menit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</w:tcBorders>
          </w:tcPr>
          <w:p w:rsidR="00396567" w:rsidRPr="009153A6" w:rsidRDefault="00396567" w:rsidP="00396567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</w:tbl>
    <w:p w:rsidR="007131C6" w:rsidRPr="009153A6" w:rsidRDefault="007131C6">
      <w:pPr>
        <w:rPr>
          <w:rFonts w:ascii="Arial Narrow" w:hAnsi="Arial Narrow"/>
          <w:sz w:val="18"/>
          <w:szCs w:val="18"/>
        </w:rPr>
      </w:pPr>
    </w:p>
    <w:p w:rsidR="007131C6" w:rsidRPr="009153A6" w:rsidRDefault="007131C6">
      <w:pPr>
        <w:rPr>
          <w:rFonts w:ascii="Arial Narrow" w:hAnsi="Arial Narrow"/>
          <w:sz w:val="18"/>
          <w:szCs w:val="18"/>
        </w:rPr>
      </w:pPr>
      <w:r w:rsidRPr="009153A6">
        <w:rPr>
          <w:rFonts w:ascii="Arial Narrow" w:hAnsi="Arial Narrow"/>
          <w:sz w:val="18"/>
          <w:szCs w:val="18"/>
        </w:rPr>
        <w:br w:type="page"/>
      </w:r>
    </w:p>
    <w:p w:rsidR="00DC3D6A" w:rsidRPr="009153A6" w:rsidRDefault="00DC3D6A">
      <w:pPr>
        <w:rPr>
          <w:rFonts w:ascii="Arial Narrow" w:hAnsi="Arial Narrow"/>
          <w:sz w:val="18"/>
          <w:szCs w:val="18"/>
        </w:rPr>
      </w:pPr>
    </w:p>
    <w:tbl>
      <w:tblPr>
        <w:tblStyle w:val="TableGrid"/>
        <w:tblW w:w="9180" w:type="dxa"/>
        <w:tblLayout w:type="fixed"/>
        <w:tblLook w:val="04A0"/>
      </w:tblPr>
      <w:tblGrid>
        <w:gridCol w:w="534"/>
        <w:gridCol w:w="2126"/>
        <w:gridCol w:w="3260"/>
        <w:gridCol w:w="1276"/>
        <w:gridCol w:w="992"/>
        <w:gridCol w:w="992"/>
      </w:tblGrid>
      <w:tr w:rsidR="005F0EC4" w:rsidRPr="009153A6" w:rsidTr="0045436D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5F0EC4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F0EC4" w:rsidRPr="009153A6" w:rsidRDefault="005F0EC4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F0EC4" w:rsidRPr="009153A6" w:rsidRDefault="005F0EC4" w:rsidP="00C3331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Penerimaan tersebut dicatat dalam buku bantu dan buku jurnal sekaligus dikeluarkan ongkos panggilan pertama</w:t>
            </w:r>
            <w:r w:rsidR="00C33312">
              <w:rPr>
                <w:rFonts w:ascii="Arial Narrow" w:hAnsi="Arial Narrow" w:cstheme="majorBidi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F0EC4" w:rsidRPr="009153A6" w:rsidRDefault="005F0EC4" w:rsidP="005F0EC4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Kasir, bendahara pengeluaran</w:t>
            </w:r>
          </w:p>
          <w:p w:rsidR="005F0EC4" w:rsidRPr="009153A6" w:rsidRDefault="005F0EC4" w:rsidP="008823D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F0EC4" w:rsidRPr="009153A6" w:rsidRDefault="005F0EC4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5F0EC4" w:rsidRPr="009153A6" w:rsidRDefault="005F0EC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5F0EC4" w:rsidRPr="009153A6" w:rsidTr="0045436D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7925C6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92363F" w:rsidP="00A61981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PRODEO MURNI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92363F" w:rsidP="00B468A4">
            <w:pPr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Prosedurnya sama seperti tersebut di atas, adapun yang membedakannya dengan perkara prodeo yang dibiayai oleh Negara/DIPA adalah kalau prodeo murni seperti dimaksud pasal 273 s/d 275 R.Bg, di tolak maka biaya perkara dibayar oleh Penggugat, </w:t>
            </w:r>
            <w:r w:rsidR="00B468A4" w:rsidRPr="009153A6">
              <w:rPr>
                <w:rFonts w:ascii="Arial Narrow" w:hAnsi="Arial Narrow" w:cstheme="majorBidi"/>
                <w:sz w:val="18"/>
                <w:szCs w:val="18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jika </w:t>
            </w:r>
            <w:r w:rsidR="00B468A4" w:rsidRPr="009153A6">
              <w:rPr>
                <w:rFonts w:ascii="Arial Narrow" w:hAnsi="Arial Narrow" w:cstheme="majorBidi"/>
                <w:sz w:val="18"/>
                <w:szCs w:val="18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dikabulkan </w:t>
            </w:r>
            <w:r w:rsidR="00B468A4" w:rsidRPr="009153A6">
              <w:rPr>
                <w:rFonts w:ascii="Arial Narrow" w:hAnsi="Arial Narrow" w:cstheme="majorBidi"/>
                <w:sz w:val="18"/>
                <w:szCs w:val="18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untuk </w:t>
            </w:r>
            <w:r w:rsidR="006D0B32" w:rsidRPr="009153A6">
              <w:rPr>
                <w:rFonts w:ascii="Arial Narrow" w:hAnsi="Arial Narrow" w:cstheme="majorBidi"/>
                <w:sz w:val="18"/>
                <w:szCs w:val="18"/>
              </w:rPr>
              <w:t>berperkara secara prodeo, maka biaya tidak dibebankan ke Negara/DIPA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5F0EC4" w:rsidP="008823D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5F0EC4" w:rsidP="00A162EF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F0EC4" w:rsidRPr="009153A6" w:rsidRDefault="005F0EC4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3E4490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E4490" w:rsidRPr="009153A6" w:rsidRDefault="003E4490" w:rsidP="00BA4862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F.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E4490" w:rsidRPr="009153A6" w:rsidRDefault="003E4490" w:rsidP="00BA4862">
            <w:pPr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PROSES 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PENDAFTAR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A</w:t>
            </w:r>
            <w:r w:rsidRPr="009153A6">
              <w:rPr>
                <w:rFonts w:ascii="Arial Narrow" w:hAnsi="Arial Narrow" w:cstheme="majorBidi"/>
                <w:sz w:val="18"/>
                <w:szCs w:val="18"/>
              </w:rPr>
              <w:t>N</w:t>
            </w:r>
          </w:p>
          <w:p w:rsidR="003E4490" w:rsidRPr="009153A6" w:rsidRDefault="003E4490" w:rsidP="00BA4862">
            <w:pPr>
              <w:pStyle w:val="ListParagraph"/>
              <w:tabs>
                <w:tab w:val="left" w:pos="459"/>
              </w:tabs>
              <w:ind w:left="0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 xml:space="preserve">PERKARA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OLEH ORANG YANG BUTA HURUF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vAlign w:val="bottom"/>
          </w:tcPr>
          <w:p w:rsidR="003E4490" w:rsidRPr="009153A6" w:rsidRDefault="003E4490" w:rsidP="003E4490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Menghadap petugas meja I untuk menyampaikan kehendaknya ingin mengajukan gugatan/ permohonan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vAlign w:val="center"/>
          </w:tcPr>
          <w:p w:rsidR="003E4490" w:rsidRPr="009153A6" w:rsidRDefault="003E4490" w:rsidP="003E4490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Calon Penggugat/Pemohon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  <w:vAlign w:val="center"/>
          </w:tcPr>
          <w:p w:rsidR="003E4490" w:rsidRPr="009153A6" w:rsidRDefault="003E4490" w:rsidP="003E4490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3E4490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Melapor kepada Ketua tentang adanya orang buta huruf yang ingin mengajukan gugatan/ permohonan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Petugas meja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544B5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Menunjuk hakim agar membuatkan catatan gugatan/</w:t>
            </w:r>
            <w:r w:rsidR="00034B24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permohonan lisan</w:t>
            </w:r>
            <w:r w:rsidR="00034B24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Ketua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92363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Membuat catatan gugatan/</w:t>
            </w:r>
            <w:r w:rsidR="00034B24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permohonan lisan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Hakim yang ditunjuk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92363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Menyerahkan catatan gugatan/ permohonan lisan kepada calon Penggugat/Pemohon untuk menghadap meja petugas meja I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Hakim yang ditunjuk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92363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Menghadap petugas meja 1 dan menyerahkan catatan gugatan/ permohonan lisan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Calon Penggugat/ Pemohon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92363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Menerima surat gugatan/ permohonan sebanyak para pihak ditambah 3 eksemplar termasuk soft copynya d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ari Penggugat/</w:t>
            </w:r>
            <w:r w:rsidR="00034B24"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Pemohon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92363F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Meneliti surat gugatan/ permohonan</w:t>
            </w: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 xml:space="preserve"> yang diajukan oleh Penggugat/Pemohon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</w:rPr>
              <w:t>Petugas Meja I</w:t>
            </w:r>
          </w:p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 w:cstheme="majorBidi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 w:cstheme="majorBidi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7131C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 w:cstheme="majorBid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Menaksir panjar biaya perkara dan membuat SKUM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Rangkap 3  serta menyerahkan SKUM tersebut kepada Penggugat/Pemohon agar membayar panjar biaya perkara pada bank yang ditunjuk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Petugas Meja I/</w:t>
            </w:r>
          </w:p>
          <w:p w:rsidR="003E4490" w:rsidRPr="009153A6" w:rsidRDefault="003E4490" w:rsidP="00C10F7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Petugas bank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 w:cstheme="majorBidi"/>
                <w:sz w:val="18"/>
                <w:szCs w:val="18"/>
              </w:rPr>
            </w:pPr>
          </w:p>
        </w:tc>
      </w:tr>
      <w:tr w:rsidR="003E4490" w:rsidRPr="009153A6" w:rsidTr="007131C6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Menerima 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slip 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pembayaran panjar biaya perkara sesuai SKUM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Kasir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 w:rsidP="00C10F7A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E4490" w:rsidRPr="009153A6" w:rsidRDefault="003E449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02A5" w:rsidRPr="009153A6" w:rsidTr="0014194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B468A4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034B24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Memberi tanda/cap LUNAS dan memberi nomor perkara pada SKUM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/>
                <w:sz w:val="18"/>
                <w:szCs w:val="18"/>
              </w:rPr>
              <w:t>setelah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 Penggugat/Pemohon 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m</w:t>
            </w:r>
            <w:r w:rsidRPr="009153A6">
              <w:rPr>
                <w:rFonts w:ascii="Arial Narrow" w:hAnsi="Arial Narrow"/>
                <w:sz w:val="18"/>
                <w:szCs w:val="18"/>
              </w:rPr>
              <w:t>emba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/>
                <w:sz w:val="18"/>
                <w:szCs w:val="18"/>
              </w:rPr>
              <w:t>yar panjar biaya perkara di Bank yang ditunjuk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Kasir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02A5" w:rsidRPr="009153A6" w:rsidTr="0014194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Mencatat panjar biaya perkara dalam buku jurnal perkara yang bersangkutan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Kasir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02A5" w:rsidRPr="009153A6" w:rsidTr="007D02A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Membubuhkan nomor perkara pada surat gugatan/ permo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/>
                <w:sz w:val="18"/>
                <w:szCs w:val="18"/>
              </w:rPr>
              <w:t>honan dengan stempel yang telah ditetapkan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Kasir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02A5" w:rsidRPr="009153A6" w:rsidTr="0014194C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D02A5" w:rsidRPr="009153A6" w:rsidRDefault="007D02A5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D02A5" w:rsidRPr="009153A6" w:rsidRDefault="007D02A5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Menyerahkan SKUM lemba</w:t>
            </w:r>
            <w:r w:rsidRPr="009153A6">
              <w:rPr>
                <w:rFonts w:ascii="Arial Narrow" w:hAnsi="Arial Narrow"/>
                <w:sz w:val="18"/>
                <w:szCs w:val="18"/>
              </w:rPr>
              <w:t>r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pertama kepada Penggugat/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Pemohon untuk disimpan yang bersangkutan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Kasir 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D02A5" w:rsidRPr="009153A6" w:rsidRDefault="007D02A5" w:rsidP="00C17049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2 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14194C" w:rsidRDefault="0014194C"/>
    <w:p w:rsidR="0014194C" w:rsidRDefault="0014194C">
      <w:r>
        <w:br w:type="page"/>
      </w:r>
    </w:p>
    <w:p w:rsidR="0014194C" w:rsidRDefault="0014194C"/>
    <w:tbl>
      <w:tblPr>
        <w:tblStyle w:val="TableGrid"/>
        <w:tblW w:w="9180" w:type="dxa"/>
        <w:tblLayout w:type="fixed"/>
        <w:tblLook w:val="04A0"/>
      </w:tblPr>
      <w:tblGrid>
        <w:gridCol w:w="534"/>
        <w:gridCol w:w="2126"/>
        <w:gridCol w:w="3260"/>
        <w:gridCol w:w="1276"/>
        <w:gridCol w:w="992"/>
        <w:gridCol w:w="992"/>
      </w:tblGrid>
      <w:tr w:rsidR="007D02A5" w:rsidRPr="009153A6" w:rsidTr="0014194C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Menyerahkan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berkas perkara berisi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 surat gugatan/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 w:rsidRPr="009153A6">
              <w:rPr>
                <w:rFonts w:ascii="Arial Narrow" w:hAnsi="Arial Narrow"/>
                <w:sz w:val="18"/>
                <w:szCs w:val="18"/>
              </w:rPr>
              <w:t>permohonan besert SKUM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lembar 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kedua kepada Peng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gugat/Pemohon untuk men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-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daftar 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perkaranya 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pada 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petugas 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meja II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D02A5" w:rsidRPr="009153A6" w:rsidRDefault="007D02A5" w:rsidP="008823D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02A5" w:rsidRPr="009153A6" w:rsidTr="007D02A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Mencatat perkara gugatan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dalam buku register gugatan dan perkara </w:t>
            </w:r>
            <w:r w:rsidRPr="009153A6">
              <w:rPr>
                <w:rFonts w:ascii="Arial Narrow" w:hAnsi="Arial Narrow"/>
                <w:sz w:val="18"/>
                <w:szCs w:val="18"/>
              </w:rPr>
              <w:t xml:space="preserve"> permohonan dalam buku register</w:t>
            </w: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 xml:space="preserve"> perrmohonan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8823D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02A5" w:rsidRPr="009153A6" w:rsidTr="007D02A5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Menyerahkan satu eksemplar surat gugatan/permohonan kepada Penggugat/Pemohon untuk disimpan yang berasangkutan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8823D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Petugas meja II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7D02A5" w:rsidRPr="009153A6" w:rsidRDefault="007D02A5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951F9" w:rsidRPr="009153A6" w:rsidTr="005951F9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5951F9" w:rsidRPr="009153A6" w:rsidRDefault="005951F9" w:rsidP="00A162E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5951F9" w:rsidRPr="009153A6" w:rsidRDefault="005951F9" w:rsidP="0092363F">
            <w:pPr>
              <w:tabs>
                <w:tab w:val="left" w:pos="459"/>
              </w:tabs>
              <w:ind w:left="99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5951F9" w:rsidRPr="009153A6" w:rsidRDefault="005951F9" w:rsidP="0092363F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153A6">
              <w:rPr>
                <w:rFonts w:ascii="Arial Narrow" w:hAnsi="Arial Narrow"/>
                <w:sz w:val="18"/>
                <w:szCs w:val="18"/>
              </w:rPr>
              <w:t>Proses perjalanan berkas selanjutnya hingga PHS sama dengan proses penerimaan perkara pada umumnya</w:t>
            </w:r>
            <w:r w:rsidR="00034B24" w:rsidRPr="009153A6">
              <w:rPr>
                <w:rFonts w:ascii="Arial Narrow" w:hAnsi="Arial Narrow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5951F9" w:rsidRPr="009153A6" w:rsidRDefault="005951F9" w:rsidP="008823D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5951F9" w:rsidRPr="009153A6" w:rsidRDefault="005951F9" w:rsidP="00A162EF">
            <w:pPr>
              <w:jc w:val="center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auto"/>
            </w:tcBorders>
          </w:tcPr>
          <w:p w:rsidR="005951F9" w:rsidRPr="009153A6" w:rsidRDefault="005951F9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147497" w:rsidRPr="009153A6" w:rsidRDefault="00147497">
      <w:pPr>
        <w:rPr>
          <w:rFonts w:ascii="Arial Narrow" w:hAnsi="Arial Narrow"/>
          <w:sz w:val="18"/>
          <w:szCs w:val="18"/>
        </w:rPr>
      </w:pPr>
    </w:p>
    <w:p w:rsidR="007D02A5" w:rsidRPr="009153A6" w:rsidRDefault="00850B45" w:rsidP="00850B45">
      <w:pPr>
        <w:ind w:left="4320"/>
        <w:rPr>
          <w:rFonts w:ascii="Arial Narrow" w:hAnsi="Arial Narrow"/>
          <w:sz w:val="18"/>
          <w:szCs w:val="18"/>
          <w:lang w:val="en-US"/>
        </w:rPr>
      </w:pPr>
      <w:r w:rsidRPr="009153A6">
        <w:rPr>
          <w:rFonts w:ascii="Arial Narrow" w:hAnsi="Arial Narrow"/>
          <w:sz w:val="18"/>
          <w:szCs w:val="18"/>
          <w:lang w:val="en-US"/>
        </w:rPr>
        <w:t>Ketua Pengadilan Agama Kuala Tungkal</w:t>
      </w:r>
    </w:p>
    <w:p w:rsidR="00850B45" w:rsidRPr="009153A6" w:rsidRDefault="00850B45" w:rsidP="00850B45">
      <w:pPr>
        <w:ind w:left="4320"/>
        <w:rPr>
          <w:rFonts w:ascii="Arial Narrow" w:hAnsi="Arial Narrow"/>
          <w:sz w:val="18"/>
          <w:szCs w:val="18"/>
          <w:lang w:val="en-US"/>
        </w:rPr>
      </w:pPr>
    </w:p>
    <w:p w:rsidR="00850B45" w:rsidRPr="009153A6" w:rsidRDefault="00850B45" w:rsidP="00850B45">
      <w:pPr>
        <w:ind w:left="4320"/>
        <w:rPr>
          <w:rFonts w:ascii="Arial Narrow" w:hAnsi="Arial Narrow"/>
          <w:sz w:val="18"/>
          <w:szCs w:val="18"/>
          <w:lang w:val="en-US"/>
        </w:rPr>
      </w:pPr>
    </w:p>
    <w:p w:rsidR="00850B45" w:rsidRPr="009153A6" w:rsidRDefault="00850B45" w:rsidP="00850B45">
      <w:pPr>
        <w:ind w:left="4320"/>
        <w:rPr>
          <w:rFonts w:ascii="Arial Narrow" w:hAnsi="Arial Narrow"/>
          <w:sz w:val="18"/>
          <w:szCs w:val="18"/>
          <w:lang w:val="en-US"/>
        </w:rPr>
      </w:pPr>
    </w:p>
    <w:p w:rsidR="00850B45" w:rsidRPr="009153A6" w:rsidRDefault="00850B45" w:rsidP="00850B45">
      <w:pPr>
        <w:ind w:left="4320"/>
        <w:rPr>
          <w:rFonts w:ascii="Arial Narrow" w:hAnsi="Arial Narrow"/>
          <w:sz w:val="18"/>
          <w:szCs w:val="18"/>
          <w:lang w:val="en-US"/>
        </w:rPr>
      </w:pPr>
      <w:r w:rsidRPr="009153A6">
        <w:rPr>
          <w:rFonts w:ascii="Arial Narrow" w:hAnsi="Arial Narrow"/>
          <w:sz w:val="18"/>
          <w:szCs w:val="18"/>
          <w:lang w:val="en-US"/>
        </w:rPr>
        <w:t>Drs. Agus Gunawan, M.H</w:t>
      </w:r>
      <w:r w:rsidR="008B1569" w:rsidRPr="009153A6">
        <w:rPr>
          <w:rFonts w:ascii="Arial Narrow" w:hAnsi="Arial Narrow"/>
          <w:sz w:val="18"/>
          <w:szCs w:val="18"/>
          <w:lang w:val="en-US"/>
        </w:rPr>
        <w:t>.</w:t>
      </w:r>
    </w:p>
    <w:p w:rsidR="00850B45" w:rsidRPr="009153A6" w:rsidRDefault="00850B45" w:rsidP="008B1569">
      <w:pPr>
        <w:ind w:left="4320"/>
        <w:rPr>
          <w:rFonts w:ascii="Arial Narrow" w:hAnsi="Arial Narrow"/>
          <w:sz w:val="18"/>
          <w:szCs w:val="18"/>
          <w:lang w:val="en-US"/>
        </w:rPr>
      </w:pPr>
      <w:r w:rsidRPr="009153A6">
        <w:rPr>
          <w:rFonts w:ascii="Arial Narrow" w:hAnsi="Arial Narrow"/>
          <w:sz w:val="18"/>
          <w:szCs w:val="18"/>
          <w:lang w:val="en-US"/>
        </w:rPr>
        <w:t xml:space="preserve">NIP </w:t>
      </w:r>
      <w:r w:rsidRPr="009153A6">
        <w:rPr>
          <w:rFonts w:ascii="Arial Narrow" w:hAnsi="Arial Narrow"/>
          <w:sz w:val="18"/>
          <w:szCs w:val="18"/>
        </w:rPr>
        <w:t>195903141993031 00</w:t>
      </w:r>
      <w:r w:rsidR="008B1569" w:rsidRPr="009153A6">
        <w:rPr>
          <w:rFonts w:ascii="Arial Narrow" w:hAnsi="Arial Narrow"/>
          <w:sz w:val="18"/>
          <w:szCs w:val="18"/>
          <w:lang w:val="en-US"/>
        </w:rPr>
        <w:t>1</w:t>
      </w:r>
    </w:p>
    <w:p w:rsidR="0097327B" w:rsidRPr="009153A6" w:rsidRDefault="0097327B">
      <w:pPr>
        <w:rPr>
          <w:rFonts w:ascii="Arial Narrow" w:hAnsi="Arial Narrow"/>
          <w:sz w:val="18"/>
          <w:szCs w:val="18"/>
        </w:rPr>
      </w:pPr>
    </w:p>
    <w:sectPr w:rsidR="0097327B" w:rsidRPr="009153A6" w:rsidSect="009153A6">
      <w:headerReference w:type="default" r:id="rId7"/>
      <w:pgSz w:w="11907" w:h="16840" w:code="9"/>
      <w:pgMar w:top="1440" w:right="1134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BFA" w:rsidRDefault="005C3BFA" w:rsidP="0097327B">
      <w:r>
        <w:separator/>
      </w:r>
    </w:p>
  </w:endnote>
  <w:endnote w:type="continuationSeparator" w:id="0">
    <w:p w:rsidR="005C3BFA" w:rsidRDefault="005C3BFA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BFA" w:rsidRDefault="005C3BFA" w:rsidP="0097327B">
      <w:r>
        <w:separator/>
      </w:r>
    </w:p>
  </w:footnote>
  <w:footnote w:type="continuationSeparator" w:id="0">
    <w:p w:rsidR="005C3BFA" w:rsidRDefault="005C3BFA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180" w:type="dxa"/>
      <w:tblLayout w:type="fixed"/>
      <w:tblLook w:val="04A0"/>
    </w:tblPr>
    <w:tblGrid>
      <w:gridCol w:w="1713"/>
      <w:gridCol w:w="3532"/>
      <w:gridCol w:w="1985"/>
      <w:gridCol w:w="1950"/>
    </w:tblGrid>
    <w:tr w:rsidR="00CD1DB4" w:rsidRPr="0097327B" w:rsidTr="00EA1D8B">
      <w:trPr>
        <w:cnfStyle w:val="100000000000"/>
      </w:trPr>
      <w:tc>
        <w:tcPr>
          <w:cnfStyle w:val="001000000000"/>
          <w:tcW w:w="1713" w:type="dxa"/>
          <w:vMerge w:val="restart"/>
        </w:tcPr>
        <w:p w:rsidR="00CD1DB4" w:rsidRPr="0097327B" w:rsidRDefault="00CD1DB4" w:rsidP="00BC7115">
          <w:pPr>
            <w:pStyle w:val="Header"/>
            <w:ind w:left="34"/>
            <w:jc w:val="center"/>
            <w:rPr>
              <w:b w:val="0"/>
              <w:bCs w:val="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60960</wp:posOffset>
                </wp:positionV>
                <wp:extent cx="514350" cy="638175"/>
                <wp:effectExtent l="19050" t="0" r="0" b="0"/>
                <wp:wrapNone/>
                <wp:docPr id="2" name="Picture 1" descr="pa_kualatungk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a_kualatungk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CD1DB4" w:rsidRPr="0097327B" w:rsidRDefault="00CD1DB4" w:rsidP="00BC7115">
          <w:pPr>
            <w:pStyle w:val="Header"/>
            <w:jc w:val="center"/>
            <w:rPr>
              <w:b w:val="0"/>
              <w:bCs w:val="0"/>
            </w:rPr>
          </w:pPr>
        </w:p>
        <w:p w:rsidR="00CD1DB4" w:rsidRPr="0097327B" w:rsidRDefault="00CD1DB4" w:rsidP="00BC7115">
          <w:pPr>
            <w:pStyle w:val="Header"/>
            <w:jc w:val="center"/>
            <w:rPr>
              <w:b w:val="0"/>
              <w:bCs w:val="0"/>
            </w:rPr>
          </w:pPr>
        </w:p>
        <w:p w:rsidR="00CD1DB4" w:rsidRPr="0097327B" w:rsidRDefault="00CD1DB4" w:rsidP="00BC7115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467" w:type="dxa"/>
          <w:gridSpan w:val="3"/>
        </w:tcPr>
        <w:p w:rsidR="00CD1DB4" w:rsidRPr="002A759E" w:rsidRDefault="00CD1DB4" w:rsidP="002A759E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lang w:val="en-US"/>
            </w:rPr>
          </w:pPr>
          <w:r w:rsidRPr="00FA2242">
            <w:rPr>
              <w:rFonts w:ascii="Stencil" w:hAnsi="Stencil"/>
              <w:b w:val="0"/>
              <w:bCs w:val="0"/>
              <w:szCs w:val="32"/>
            </w:rPr>
            <w:t>PENGADILAN AGAMA</w:t>
          </w:r>
          <w:r w:rsidRPr="00FA2242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>
            <w:rPr>
              <w:rFonts w:ascii="Stencil" w:hAnsi="Stencil"/>
              <w:b w:val="0"/>
              <w:bCs w:val="0"/>
              <w:lang w:val="en-US"/>
            </w:rPr>
            <w:t>KUALA TUNGKAL</w:t>
          </w:r>
        </w:p>
        <w:p w:rsidR="00CD1DB4" w:rsidRPr="003C3E09" w:rsidRDefault="00CD1DB4" w:rsidP="00BC7115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 Prof. Dr. Sri Soed</w:t>
          </w:r>
          <w:r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e</w:t>
          </w:r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wi MS. Tlp</w:t>
          </w:r>
          <w:proofErr w:type="gramStart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./</w:t>
          </w:r>
          <w:proofErr w:type="gramEnd"/>
          <w:r w:rsidRPr="003C3E0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Fax. 0742-221082</w:t>
          </w:r>
          <w:r w:rsidRPr="003C3E0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Tungkal</w:t>
          </w:r>
        </w:p>
        <w:p w:rsidR="00CD1DB4" w:rsidRPr="00B6593C" w:rsidRDefault="00CD1DB4" w:rsidP="00BC7115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CD1DB4" w:rsidRPr="0097327B" w:rsidTr="00EA1D8B">
      <w:trPr>
        <w:cnfStyle w:val="000000100000"/>
      </w:trPr>
      <w:tc>
        <w:tcPr>
          <w:cnfStyle w:val="001000000000"/>
          <w:tcW w:w="1713" w:type="dxa"/>
          <w:vMerge/>
        </w:tcPr>
        <w:p w:rsidR="00CD1DB4" w:rsidRPr="0097327B" w:rsidRDefault="00CD1DB4" w:rsidP="00BC7115">
          <w:pPr>
            <w:pStyle w:val="Header"/>
            <w:rPr>
              <w:b w:val="0"/>
              <w:bCs w:val="0"/>
            </w:rPr>
          </w:pPr>
        </w:p>
      </w:tc>
      <w:tc>
        <w:tcPr>
          <w:tcW w:w="7467" w:type="dxa"/>
          <w:gridSpan w:val="3"/>
          <w:shd w:val="clear" w:color="auto" w:fill="auto"/>
        </w:tcPr>
        <w:p w:rsidR="00CD1DB4" w:rsidRPr="003B2698" w:rsidRDefault="00CD1DB4" w:rsidP="00BC7115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3B2698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3B2698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3B2698">
            <w:rPr>
              <w:rFonts w:ascii="Bookman Old Style" w:hAnsi="Bookman Old Style"/>
              <w:sz w:val="18"/>
              <w:szCs w:val="18"/>
            </w:rPr>
            <w:t>(SOP)</w:t>
          </w:r>
        </w:p>
        <w:p w:rsidR="00CD1DB4" w:rsidRPr="001A7A78" w:rsidRDefault="00CD1DB4" w:rsidP="00BC7115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color w:val="0070C0"/>
              <w:lang w:val="en-US"/>
            </w:rPr>
          </w:pPr>
          <w:r>
            <w:rPr>
              <w:rFonts w:ascii="Stencil" w:hAnsi="Stencil"/>
              <w:color w:val="0070C0"/>
              <w:sz w:val="22"/>
              <w:szCs w:val="22"/>
              <w:lang w:val="en-US"/>
            </w:rPr>
            <w:t>Penerimaan perkara</w:t>
          </w:r>
        </w:p>
        <w:p w:rsidR="00CD1DB4" w:rsidRPr="00AF4AA5" w:rsidRDefault="00CD1DB4" w:rsidP="00BC7115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AF4AA5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CD1DB4" w:rsidRPr="0097327B" w:rsidTr="00EA1D8B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CD1DB4" w:rsidRPr="00B6593C" w:rsidRDefault="00CD1DB4" w:rsidP="00BC7115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 xml:space="preserve">Nomor 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S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O</w:t>
          </w:r>
          <w:r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B6593C">
            <w:rPr>
              <w:b w:val="0"/>
              <w:bCs w:val="0"/>
              <w:sz w:val="18"/>
              <w:szCs w:val="18"/>
            </w:rPr>
            <w:t>P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CD1DB4" w:rsidRPr="00D52D5F" w:rsidRDefault="00CD1DB4" w:rsidP="00BC7115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D52D5F">
            <w:rPr>
              <w:sz w:val="18"/>
              <w:szCs w:val="18"/>
            </w:rPr>
            <w:t>W5-A3/042/Kp.001/</w:t>
          </w:r>
          <w:r w:rsidRPr="00D52D5F">
            <w:rPr>
              <w:sz w:val="18"/>
              <w:szCs w:val="18"/>
              <w:lang w:val="en-US"/>
            </w:rPr>
            <w:t>I</w:t>
          </w:r>
          <w:r w:rsidRPr="00D52D5F">
            <w:rPr>
              <w:sz w:val="18"/>
              <w:szCs w:val="18"/>
            </w:rPr>
            <w:t>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CD1DB4" w:rsidRPr="00B6593C" w:rsidRDefault="00CD1DB4" w:rsidP="00BC7115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B6593C">
            <w:rPr>
              <w:sz w:val="18"/>
              <w:szCs w:val="18"/>
            </w:rPr>
            <w:t>Revisi T</w:t>
          </w:r>
          <w:r w:rsidRPr="00B6593C">
            <w:rPr>
              <w:sz w:val="18"/>
              <w:szCs w:val="18"/>
              <w:lang w:val="en-US"/>
            </w:rPr>
            <w:t>anggal</w:t>
          </w:r>
          <w:r w:rsidRPr="00B6593C">
            <w:rPr>
              <w:sz w:val="18"/>
              <w:szCs w:val="18"/>
              <w:lang w:val="en-US"/>
            </w:rPr>
            <w:tab/>
            <w:t>:</w:t>
          </w:r>
          <w:r w:rsidRPr="00B6593C">
            <w:rPr>
              <w:sz w:val="18"/>
              <w:szCs w:val="18"/>
            </w:rPr>
            <w:t xml:space="preserve">  </w:t>
          </w:r>
        </w:p>
      </w:tc>
      <w:tc>
        <w:tcPr>
          <w:tcW w:w="1950" w:type="dxa"/>
          <w:tcBorders>
            <w:left w:val="single" w:sz="4" w:space="0" w:color="FFFFFF" w:themeColor="background1"/>
          </w:tcBorders>
        </w:tcPr>
        <w:p w:rsidR="00CD1DB4" w:rsidRPr="006D0B32" w:rsidRDefault="00CD1DB4" w:rsidP="00BC7115">
          <w:pPr>
            <w:pStyle w:val="Header"/>
            <w:ind w:left="58"/>
            <w:cnfStyle w:val="000000010000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 xml:space="preserve">02 Januari </w:t>
          </w:r>
          <w:r w:rsidR="00DA3E04">
            <w:rPr>
              <w:sz w:val="18"/>
              <w:szCs w:val="18"/>
              <w:lang w:val="en-US"/>
            </w:rPr>
            <w:t>2013</w:t>
          </w:r>
        </w:p>
      </w:tc>
    </w:tr>
    <w:tr w:rsidR="00CD1DB4" w:rsidRPr="0097327B" w:rsidTr="00EA1D8B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CD1DB4" w:rsidRPr="00B6593C" w:rsidRDefault="00CD1DB4" w:rsidP="00BC7115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B6593C">
            <w:rPr>
              <w:b w:val="0"/>
              <w:bCs w:val="0"/>
              <w:sz w:val="18"/>
              <w:szCs w:val="18"/>
            </w:rPr>
            <w:t>Tgl Ditetapkan</w:t>
          </w:r>
          <w:r w:rsidRPr="00B6593C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CD1DB4" w:rsidRPr="006D0B32" w:rsidRDefault="00CD1DB4" w:rsidP="00BC7115">
          <w:pPr>
            <w:pStyle w:val="Header"/>
            <w:ind w:left="28"/>
            <w:cnfStyle w:val="000000100000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</w:rPr>
            <w:t>03 Januari 201</w:t>
          </w:r>
          <w:r>
            <w:rPr>
              <w:sz w:val="18"/>
              <w:szCs w:val="18"/>
              <w:lang w:val="en-US"/>
            </w:rPr>
            <w:t>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CD1DB4" w:rsidRPr="00B6593C" w:rsidRDefault="00CD1DB4" w:rsidP="00BC7115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B6593C">
            <w:rPr>
              <w:sz w:val="18"/>
              <w:szCs w:val="18"/>
            </w:rPr>
            <w:t>Halaman</w:t>
          </w:r>
          <w:r w:rsidRPr="00B6593C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950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CD1DB4" w:rsidRPr="00AC4A44" w:rsidRDefault="00823AB1" w:rsidP="00BC7115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CD1DB4" w:rsidRPr="00AC4A44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DA3E04">
            <w:rPr>
              <w:rFonts w:asciiTheme="majorBidi" w:hAnsiTheme="majorBidi" w:cstheme="majorBidi"/>
              <w:noProof/>
              <w:sz w:val="20"/>
              <w:szCs w:val="20"/>
            </w:rPr>
            <w:t>8</w:t>
          </w:r>
          <w:r w:rsidRPr="00AC4A44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CD1DB4" w:rsidRPr="00224FB0" w:rsidRDefault="00CD1DB4" w:rsidP="00224FB0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145A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1C5A61"/>
    <w:multiLevelType w:val="hybridMultilevel"/>
    <w:tmpl w:val="8F6832CA"/>
    <w:lvl w:ilvl="0" w:tplc="080E81D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14AD"/>
    <w:multiLevelType w:val="hybridMultilevel"/>
    <w:tmpl w:val="F02EAAD6"/>
    <w:lvl w:ilvl="0" w:tplc="34B8014A">
      <w:start w:val="1"/>
      <w:numFmt w:val="decimal"/>
      <w:lvlText w:val="%1."/>
      <w:lvlJc w:val="left"/>
      <w:pPr>
        <w:ind w:left="754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BED2DB0"/>
    <w:multiLevelType w:val="hybridMultilevel"/>
    <w:tmpl w:val="F670E9D0"/>
    <w:lvl w:ilvl="0" w:tplc="22823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71A27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7570B3"/>
    <w:multiLevelType w:val="hybridMultilevel"/>
    <w:tmpl w:val="75522A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7427B"/>
    <w:multiLevelType w:val="hybridMultilevel"/>
    <w:tmpl w:val="57245FA2"/>
    <w:lvl w:ilvl="0" w:tplc="92F426F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44363"/>
    <w:multiLevelType w:val="hybridMultilevel"/>
    <w:tmpl w:val="71089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67BDF"/>
    <w:multiLevelType w:val="hybridMultilevel"/>
    <w:tmpl w:val="BB926CF2"/>
    <w:lvl w:ilvl="0" w:tplc="34B8014A">
      <w:start w:val="1"/>
      <w:numFmt w:val="decimal"/>
      <w:lvlText w:val="%1."/>
      <w:lvlJc w:val="left"/>
      <w:pPr>
        <w:ind w:left="394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295E3DDB"/>
    <w:multiLevelType w:val="hybridMultilevel"/>
    <w:tmpl w:val="7B283120"/>
    <w:lvl w:ilvl="0" w:tplc="9AD8FCC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66A87"/>
    <w:multiLevelType w:val="hybridMultilevel"/>
    <w:tmpl w:val="3160A1BC"/>
    <w:lvl w:ilvl="0" w:tplc="3FFC23F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>
    <w:nsid w:val="3A3139A6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C22107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960939"/>
    <w:multiLevelType w:val="hybridMultilevel"/>
    <w:tmpl w:val="FCB2EAF6"/>
    <w:lvl w:ilvl="0" w:tplc="7ADEF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42021"/>
    <w:multiLevelType w:val="hybridMultilevel"/>
    <w:tmpl w:val="A81E0E66"/>
    <w:lvl w:ilvl="0" w:tplc="C6846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62C9A"/>
    <w:multiLevelType w:val="hybridMultilevel"/>
    <w:tmpl w:val="73EEDB86"/>
    <w:lvl w:ilvl="0" w:tplc="D0A62DA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10072E"/>
    <w:multiLevelType w:val="hybridMultilevel"/>
    <w:tmpl w:val="60561F72"/>
    <w:lvl w:ilvl="0" w:tplc="0AD6FB8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A6CA2"/>
    <w:multiLevelType w:val="hybridMultilevel"/>
    <w:tmpl w:val="C4E65856"/>
    <w:lvl w:ilvl="0" w:tplc="781E9656">
      <w:start w:val="1"/>
      <w:numFmt w:val="upperRoman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C1A2C"/>
    <w:multiLevelType w:val="hybridMultilevel"/>
    <w:tmpl w:val="77E036F2"/>
    <w:lvl w:ilvl="0" w:tplc="3FFC2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BC5FB9"/>
    <w:multiLevelType w:val="hybridMultilevel"/>
    <w:tmpl w:val="2CCE5CFA"/>
    <w:lvl w:ilvl="0" w:tplc="34B8014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5C60B9"/>
    <w:multiLevelType w:val="hybridMultilevel"/>
    <w:tmpl w:val="B2F84FCA"/>
    <w:lvl w:ilvl="0" w:tplc="ED78C76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75E00"/>
    <w:multiLevelType w:val="hybridMultilevel"/>
    <w:tmpl w:val="F6D4AD7A"/>
    <w:lvl w:ilvl="0" w:tplc="E8521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2048B"/>
    <w:multiLevelType w:val="hybridMultilevel"/>
    <w:tmpl w:val="2AA67806"/>
    <w:lvl w:ilvl="0" w:tplc="3558E7DA">
      <w:start w:val="1"/>
      <w:numFmt w:val="lowerLetter"/>
      <w:lvlText w:val="%1."/>
      <w:lvlJc w:val="left"/>
      <w:pPr>
        <w:ind w:left="63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58" w:hanging="360"/>
      </w:pPr>
    </w:lvl>
    <w:lvl w:ilvl="2" w:tplc="0421001B" w:tentative="1">
      <w:start w:val="1"/>
      <w:numFmt w:val="lowerRoman"/>
      <w:lvlText w:val="%3."/>
      <w:lvlJc w:val="right"/>
      <w:pPr>
        <w:ind w:left="2078" w:hanging="180"/>
      </w:pPr>
    </w:lvl>
    <w:lvl w:ilvl="3" w:tplc="0421000F" w:tentative="1">
      <w:start w:val="1"/>
      <w:numFmt w:val="decimal"/>
      <w:lvlText w:val="%4."/>
      <w:lvlJc w:val="left"/>
      <w:pPr>
        <w:ind w:left="2798" w:hanging="360"/>
      </w:pPr>
    </w:lvl>
    <w:lvl w:ilvl="4" w:tplc="04210019" w:tentative="1">
      <w:start w:val="1"/>
      <w:numFmt w:val="lowerLetter"/>
      <w:lvlText w:val="%5."/>
      <w:lvlJc w:val="left"/>
      <w:pPr>
        <w:ind w:left="3518" w:hanging="360"/>
      </w:pPr>
    </w:lvl>
    <w:lvl w:ilvl="5" w:tplc="0421001B" w:tentative="1">
      <w:start w:val="1"/>
      <w:numFmt w:val="lowerRoman"/>
      <w:lvlText w:val="%6."/>
      <w:lvlJc w:val="right"/>
      <w:pPr>
        <w:ind w:left="4238" w:hanging="180"/>
      </w:pPr>
    </w:lvl>
    <w:lvl w:ilvl="6" w:tplc="0421000F" w:tentative="1">
      <w:start w:val="1"/>
      <w:numFmt w:val="decimal"/>
      <w:lvlText w:val="%7."/>
      <w:lvlJc w:val="left"/>
      <w:pPr>
        <w:ind w:left="4958" w:hanging="360"/>
      </w:pPr>
    </w:lvl>
    <w:lvl w:ilvl="7" w:tplc="04210019" w:tentative="1">
      <w:start w:val="1"/>
      <w:numFmt w:val="lowerLetter"/>
      <w:lvlText w:val="%8."/>
      <w:lvlJc w:val="left"/>
      <w:pPr>
        <w:ind w:left="5678" w:hanging="360"/>
      </w:pPr>
    </w:lvl>
    <w:lvl w:ilvl="8" w:tplc="0421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23">
    <w:nsid w:val="78650AB6"/>
    <w:multiLevelType w:val="hybridMultilevel"/>
    <w:tmpl w:val="940E51D8"/>
    <w:lvl w:ilvl="0" w:tplc="A1D86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0D169A"/>
    <w:multiLevelType w:val="hybridMultilevel"/>
    <w:tmpl w:val="7A64F2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D58FF"/>
    <w:multiLevelType w:val="hybridMultilevel"/>
    <w:tmpl w:val="0CEE8916"/>
    <w:lvl w:ilvl="0" w:tplc="2AF4390C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7"/>
  </w:num>
  <w:num w:numId="4">
    <w:abstractNumId w:val="22"/>
  </w:num>
  <w:num w:numId="5">
    <w:abstractNumId w:val="18"/>
  </w:num>
  <w:num w:numId="6">
    <w:abstractNumId w:val="10"/>
  </w:num>
  <w:num w:numId="7">
    <w:abstractNumId w:val="4"/>
  </w:num>
  <w:num w:numId="8">
    <w:abstractNumId w:val="20"/>
  </w:num>
  <w:num w:numId="9">
    <w:abstractNumId w:val="6"/>
  </w:num>
  <w:num w:numId="10">
    <w:abstractNumId w:val="25"/>
  </w:num>
  <w:num w:numId="11">
    <w:abstractNumId w:val="15"/>
  </w:num>
  <w:num w:numId="12">
    <w:abstractNumId w:val="16"/>
  </w:num>
  <w:num w:numId="13">
    <w:abstractNumId w:val="14"/>
  </w:num>
  <w:num w:numId="14">
    <w:abstractNumId w:val="24"/>
  </w:num>
  <w:num w:numId="15">
    <w:abstractNumId w:val="17"/>
  </w:num>
  <w:num w:numId="16">
    <w:abstractNumId w:val="5"/>
  </w:num>
  <w:num w:numId="17">
    <w:abstractNumId w:val="9"/>
  </w:num>
  <w:num w:numId="18">
    <w:abstractNumId w:val="21"/>
  </w:num>
  <w:num w:numId="19">
    <w:abstractNumId w:val="3"/>
  </w:num>
  <w:num w:numId="20">
    <w:abstractNumId w:val="13"/>
  </w:num>
  <w:num w:numId="21">
    <w:abstractNumId w:val="0"/>
  </w:num>
  <w:num w:numId="22">
    <w:abstractNumId w:val="19"/>
  </w:num>
  <w:num w:numId="23">
    <w:abstractNumId w:val="12"/>
  </w:num>
  <w:num w:numId="24">
    <w:abstractNumId w:val="11"/>
  </w:num>
  <w:num w:numId="25">
    <w:abstractNumId w:val="8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01AFE"/>
    <w:rsid w:val="00034B24"/>
    <w:rsid w:val="000742B5"/>
    <w:rsid w:val="00074C79"/>
    <w:rsid w:val="000761B8"/>
    <w:rsid w:val="000C00D0"/>
    <w:rsid w:val="000C62AB"/>
    <w:rsid w:val="00106767"/>
    <w:rsid w:val="0011655B"/>
    <w:rsid w:val="0014194C"/>
    <w:rsid w:val="0014293E"/>
    <w:rsid w:val="001452F9"/>
    <w:rsid w:val="001462FC"/>
    <w:rsid w:val="00147497"/>
    <w:rsid w:val="001674C6"/>
    <w:rsid w:val="00193A7D"/>
    <w:rsid w:val="001A7A78"/>
    <w:rsid w:val="001D0068"/>
    <w:rsid w:val="001D15D3"/>
    <w:rsid w:val="001F0D23"/>
    <w:rsid w:val="001F62AB"/>
    <w:rsid w:val="00203A7B"/>
    <w:rsid w:val="00224FB0"/>
    <w:rsid w:val="002439F6"/>
    <w:rsid w:val="0024410C"/>
    <w:rsid w:val="00257BA4"/>
    <w:rsid w:val="0026268D"/>
    <w:rsid w:val="00265ADA"/>
    <w:rsid w:val="00276711"/>
    <w:rsid w:val="00287DB7"/>
    <w:rsid w:val="002A05AF"/>
    <w:rsid w:val="002A759E"/>
    <w:rsid w:val="002D089A"/>
    <w:rsid w:val="00326BE5"/>
    <w:rsid w:val="003801A4"/>
    <w:rsid w:val="003831A1"/>
    <w:rsid w:val="00396567"/>
    <w:rsid w:val="003B26F0"/>
    <w:rsid w:val="003D7E25"/>
    <w:rsid w:val="003E3915"/>
    <w:rsid w:val="003E4490"/>
    <w:rsid w:val="00413C3B"/>
    <w:rsid w:val="00427607"/>
    <w:rsid w:val="00433F23"/>
    <w:rsid w:val="0045436D"/>
    <w:rsid w:val="0047700D"/>
    <w:rsid w:val="00483298"/>
    <w:rsid w:val="004D40FB"/>
    <w:rsid w:val="004E065D"/>
    <w:rsid w:val="004F52DE"/>
    <w:rsid w:val="004F5B39"/>
    <w:rsid w:val="00514FC9"/>
    <w:rsid w:val="005166BF"/>
    <w:rsid w:val="0052225B"/>
    <w:rsid w:val="00544B5F"/>
    <w:rsid w:val="00544D56"/>
    <w:rsid w:val="00546D78"/>
    <w:rsid w:val="0055119E"/>
    <w:rsid w:val="0057743D"/>
    <w:rsid w:val="00577C57"/>
    <w:rsid w:val="00585767"/>
    <w:rsid w:val="005951F9"/>
    <w:rsid w:val="005A4E36"/>
    <w:rsid w:val="005C3BFA"/>
    <w:rsid w:val="005D11DB"/>
    <w:rsid w:val="005D18E6"/>
    <w:rsid w:val="005E01E5"/>
    <w:rsid w:val="005E328D"/>
    <w:rsid w:val="005F0EC4"/>
    <w:rsid w:val="0060493A"/>
    <w:rsid w:val="00606A9A"/>
    <w:rsid w:val="0064622B"/>
    <w:rsid w:val="00653CFF"/>
    <w:rsid w:val="006570E9"/>
    <w:rsid w:val="006B2E54"/>
    <w:rsid w:val="006B775D"/>
    <w:rsid w:val="006D0B32"/>
    <w:rsid w:val="006E63B1"/>
    <w:rsid w:val="006F6AD3"/>
    <w:rsid w:val="007032CC"/>
    <w:rsid w:val="007131C6"/>
    <w:rsid w:val="00717937"/>
    <w:rsid w:val="007602CF"/>
    <w:rsid w:val="00761226"/>
    <w:rsid w:val="00783497"/>
    <w:rsid w:val="0078423C"/>
    <w:rsid w:val="0078555B"/>
    <w:rsid w:val="007925C6"/>
    <w:rsid w:val="007B2AEB"/>
    <w:rsid w:val="007B60B2"/>
    <w:rsid w:val="007C177E"/>
    <w:rsid w:val="007C2271"/>
    <w:rsid w:val="007D02A5"/>
    <w:rsid w:val="007D58B0"/>
    <w:rsid w:val="007E1FBF"/>
    <w:rsid w:val="007F4E42"/>
    <w:rsid w:val="00823AB1"/>
    <w:rsid w:val="008268B3"/>
    <w:rsid w:val="0084724F"/>
    <w:rsid w:val="00850B45"/>
    <w:rsid w:val="00865519"/>
    <w:rsid w:val="00867DF1"/>
    <w:rsid w:val="00877A9A"/>
    <w:rsid w:val="008823DF"/>
    <w:rsid w:val="00883068"/>
    <w:rsid w:val="008964AE"/>
    <w:rsid w:val="008B1569"/>
    <w:rsid w:val="008C09BE"/>
    <w:rsid w:val="008F5EF5"/>
    <w:rsid w:val="0091073A"/>
    <w:rsid w:val="009153A6"/>
    <w:rsid w:val="0092363F"/>
    <w:rsid w:val="009239A3"/>
    <w:rsid w:val="00943B97"/>
    <w:rsid w:val="009442B5"/>
    <w:rsid w:val="009536F4"/>
    <w:rsid w:val="0097327B"/>
    <w:rsid w:val="009908BD"/>
    <w:rsid w:val="009B0045"/>
    <w:rsid w:val="009E7DEC"/>
    <w:rsid w:val="00A162EF"/>
    <w:rsid w:val="00A376D7"/>
    <w:rsid w:val="00A52E9B"/>
    <w:rsid w:val="00A61981"/>
    <w:rsid w:val="00A71395"/>
    <w:rsid w:val="00A9188C"/>
    <w:rsid w:val="00AA2C11"/>
    <w:rsid w:val="00AA4C8E"/>
    <w:rsid w:val="00AB7353"/>
    <w:rsid w:val="00AD1A98"/>
    <w:rsid w:val="00AD6263"/>
    <w:rsid w:val="00B22E5C"/>
    <w:rsid w:val="00B233E9"/>
    <w:rsid w:val="00B244B5"/>
    <w:rsid w:val="00B30AF8"/>
    <w:rsid w:val="00B36928"/>
    <w:rsid w:val="00B37CD6"/>
    <w:rsid w:val="00B468A4"/>
    <w:rsid w:val="00B53498"/>
    <w:rsid w:val="00B55D98"/>
    <w:rsid w:val="00B80EB2"/>
    <w:rsid w:val="00BA192B"/>
    <w:rsid w:val="00BA4862"/>
    <w:rsid w:val="00BB4300"/>
    <w:rsid w:val="00BC7115"/>
    <w:rsid w:val="00BE027D"/>
    <w:rsid w:val="00BF1EB5"/>
    <w:rsid w:val="00BF6F6A"/>
    <w:rsid w:val="00BF71DA"/>
    <w:rsid w:val="00C10F7A"/>
    <w:rsid w:val="00C12183"/>
    <w:rsid w:val="00C1539F"/>
    <w:rsid w:val="00C17049"/>
    <w:rsid w:val="00C33312"/>
    <w:rsid w:val="00C61D81"/>
    <w:rsid w:val="00C6749B"/>
    <w:rsid w:val="00C758CE"/>
    <w:rsid w:val="00C81063"/>
    <w:rsid w:val="00C867A1"/>
    <w:rsid w:val="00C92E6B"/>
    <w:rsid w:val="00CB692E"/>
    <w:rsid w:val="00CB7B21"/>
    <w:rsid w:val="00CC0D98"/>
    <w:rsid w:val="00CD1DB4"/>
    <w:rsid w:val="00CF1FA7"/>
    <w:rsid w:val="00D032C8"/>
    <w:rsid w:val="00D25B89"/>
    <w:rsid w:val="00D31167"/>
    <w:rsid w:val="00D52D5F"/>
    <w:rsid w:val="00D80950"/>
    <w:rsid w:val="00D84798"/>
    <w:rsid w:val="00D96510"/>
    <w:rsid w:val="00DA3E04"/>
    <w:rsid w:val="00DC1F88"/>
    <w:rsid w:val="00DC3D6A"/>
    <w:rsid w:val="00DD556D"/>
    <w:rsid w:val="00DF4AF4"/>
    <w:rsid w:val="00DF65BD"/>
    <w:rsid w:val="00E131BF"/>
    <w:rsid w:val="00E25E0E"/>
    <w:rsid w:val="00E534C1"/>
    <w:rsid w:val="00E62F13"/>
    <w:rsid w:val="00E71A0C"/>
    <w:rsid w:val="00EA1D8B"/>
    <w:rsid w:val="00EA541C"/>
    <w:rsid w:val="00EB2ABC"/>
    <w:rsid w:val="00EE1253"/>
    <w:rsid w:val="00EE489A"/>
    <w:rsid w:val="00EF667D"/>
    <w:rsid w:val="00F11CE2"/>
    <w:rsid w:val="00F70B94"/>
    <w:rsid w:val="00FB3A66"/>
    <w:rsid w:val="00FC03B7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1A7A7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11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21299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78</cp:revision>
  <dcterms:created xsi:type="dcterms:W3CDTF">2011-06-01T01:29:00Z</dcterms:created>
  <dcterms:modified xsi:type="dcterms:W3CDTF">2012-11-22T11:54:00Z</dcterms:modified>
</cp:coreProperties>
</file>